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tblGrid>
      <w:tr w:rsidR="000C3338" w:rsidTr="007E1B33">
        <w:trPr>
          <w:trHeight w:val="1261"/>
        </w:trPr>
        <w:tc>
          <w:tcPr>
            <w:tcW w:w="3686" w:type="dxa"/>
            <w:shd w:val="clear" w:color="auto" w:fill="auto"/>
          </w:tcPr>
          <w:p w:rsidR="000C3338" w:rsidRDefault="000C3338" w:rsidP="007E1B33"/>
          <w:p w:rsidR="000C3338" w:rsidRPr="009F20AB" w:rsidRDefault="000C3338" w:rsidP="007E1B33">
            <w:pPr>
              <w:rPr>
                <w:rFonts w:ascii="Times New Roman" w:hAnsi="Times New Roman"/>
                <w:b/>
              </w:rPr>
            </w:pPr>
            <w:r w:rsidRPr="009F20AB">
              <w:rPr>
                <w:rFonts w:ascii="Times New Roman" w:hAnsi="Times New Roman"/>
                <w:b/>
              </w:rPr>
              <w:t>Arkusz nauczyciela nr 1</w:t>
            </w:r>
          </w:p>
          <w:p w:rsidR="000C3338" w:rsidRDefault="000C3338" w:rsidP="007E1B33">
            <w:r w:rsidRPr="002311F9">
              <w:rPr>
                <w:rFonts w:ascii="Times New Roman" w:hAnsi="Times New Roman"/>
                <w:i/>
              </w:rPr>
              <w:t>Co chronimy w Dolinie Baryczy</w:t>
            </w:r>
            <w:r>
              <w:rPr>
                <w:rFonts w:ascii="Times New Roman" w:hAnsi="Times New Roman"/>
                <w:i/>
              </w:rPr>
              <w:t>?</w:t>
            </w:r>
          </w:p>
        </w:tc>
      </w:tr>
    </w:tbl>
    <w:p w:rsidR="000C3338" w:rsidRDefault="000C3338" w:rsidP="000C3338"/>
    <w:p w:rsidR="000C3338" w:rsidRDefault="000C3338" w:rsidP="000C3338">
      <w:pPr>
        <w:spacing w:after="0"/>
        <w:ind w:firstLine="708"/>
        <w:jc w:val="both"/>
        <w:rPr>
          <w:rFonts w:ascii="Times New Roman" w:hAnsi="Times New Roman"/>
          <w:sz w:val="24"/>
          <w:szCs w:val="24"/>
        </w:rPr>
      </w:pPr>
      <w:r w:rsidRPr="006E052F">
        <w:rPr>
          <w:rFonts w:ascii="Times New Roman" w:hAnsi="Times New Roman"/>
          <w:sz w:val="24"/>
          <w:szCs w:val="24"/>
        </w:rPr>
        <w:t xml:space="preserve">Staw Stary i staw Niezgoda stanowią część </w:t>
      </w:r>
      <w:r w:rsidRPr="006E052F">
        <w:rPr>
          <w:rFonts w:ascii="Times New Roman" w:hAnsi="Times New Roman"/>
          <w:b/>
          <w:sz w:val="24"/>
          <w:szCs w:val="24"/>
        </w:rPr>
        <w:t>Parku Krajobrazowego „Dolina Baryczy”</w:t>
      </w:r>
      <w:r w:rsidRPr="006E052F">
        <w:rPr>
          <w:rFonts w:ascii="Times New Roman" w:hAnsi="Times New Roman"/>
          <w:sz w:val="24"/>
          <w:szCs w:val="24"/>
        </w:rPr>
        <w:t xml:space="preserve"> chroniącego walory przyrodnicze, kulturowe i historyczne tego obszaru. </w:t>
      </w:r>
      <w:r>
        <w:rPr>
          <w:rFonts w:ascii="Times New Roman" w:hAnsi="Times New Roman"/>
          <w:sz w:val="24"/>
          <w:szCs w:val="24"/>
        </w:rPr>
        <w:t xml:space="preserve">                     </w:t>
      </w:r>
      <w:r w:rsidRPr="006E052F">
        <w:rPr>
          <w:rFonts w:ascii="Times New Roman" w:hAnsi="Times New Roman"/>
          <w:sz w:val="24"/>
          <w:szCs w:val="24"/>
        </w:rPr>
        <w:t>W granicach największego w Polsce (</w:t>
      </w:r>
      <w:smartTag w:uri="urn:schemas-microsoft-com:office:smarttags" w:element="metricconverter">
        <w:smartTagPr>
          <w:attr w:name="ProductID" w:val="87ﾠ040 ha"/>
        </w:smartTagPr>
        <w:r w:rsidRPr="006E052F">
          <w:rPr>
            <w:rFonts w:ascii="Times New Roman" w:hAnsi="Times New Roman"/>
            <w:sz w:val="24"/>
            <w:szCs w:val="24"/>
          </w:rPr>
          <w:t>87 040 ha</w:t>
        </w:r>
      </w:smartTag>
      <w:r w:rsidRPr="006E052F">
        <w:rPr>
          <w:rFonts w:ascii="Times New Roman" w:hAnsi="Times New Roman"/>
          <w:sz w:val="24"/>
          <w:szCs w:val="24"/>
        </w:rPr>
        <w:t xml:space="preserve">) Parku Krajobrazowego „Dolina Baryczy”, którego osią jest rzeka Barycz, wyróżniono 17 zbiorowisk leśnych, wśród nich: bór chrobotkowy, bór trzęślicowy, bór mieszany, kwaśną buczynę niżową, kwaśną dąbrowę, łęg olszowo-jesionowy, łęg wiązowo-jesionowy, łęg wierzbowo-topolowy, łęg olszowy, ols porzeczkowy, zarośla łozowe. Występuje na tym obszarze 121 zespołów roślinnych. Część </w:t>
      </w:r>
      <w:r>
        <w:rPr>
          <w:rFonts w:ascii="Times New Roman" w:hAnsi="Times New Roman"/>
          <w:sz w:val="24"/>
          <w:szCs w:val="24"/>
        </w:rPr>
        <w:t xml:space="preserve">            </w:t>
      </w:r>
      <w:r w:rsidRPr="006E052F">
        <w:rPr>
          <w:rFonts w:ascii="Times New Roman" w:hAnsi="Times New Roman"/>
          <w:sz w:val="24"/>
          <w:szCs w:val="24"/>
        </w:rPr>
        <w:t xml:space="preserve">z nich znajduje się wzdłuż ścieżki edukacyjnej i została opisana w niniejszym przewodniku. Są to m.in. zespół z rzęsą mniejszą i spirodelą, zespół grążela żółtego   i grzybieni białych, ols porzeczkowy, zespół z pałką wąskolistną, zespół trzciny pospolitej. Ponadto stwierdzono tu 42 gatunki roślin chronionych m.in. kosaciec syberyjski, grzybienie białe, grążel żółty, </w:t>
      </w:r>
      <w:r>
        <w:rPr>
          <w:rFonts w:ascii="Times New Roman" w:hAnsi="Times New Roman"/>
          <w:sz w:val="24"/>
          <w:szCs w:val="24"/>
        </w:rPr>
        <w:t xml:space="preserve">             </w:t>
      </w:r>
      <w:r w:rsidRPr="006E052F">
        <w:rPr>
          <w:rFonts w:ascii="Times New Roman" w:hAnsi="Times New Roman"/>
          <w:sz w:val="24"/>
          <w:szCs w:val="24"/>
        </w:rPr>
        <w:t xml:space="preserve">z czego 28 objętych ochroną ścisłą. Na terenie parku stwierdzono 13 gatunków płazów, </w:t>
      </w:r>
      <w:r>
        <w:rPr>
          <w:rFonts w:ascii="Times New Roman" w:hAnsi="Times New Roman"/>
          <w:sz w:val="24"/>
          <w:szCs w:val="24"/>
        </w:rPr>
        <w:t xml:space="preserve">                </w:t>
      </w:r>
      <w:r w:rsidRPr="006E052F">
        <w:rPr>
          <w:rFonts w:ascii="Times New Roman" w:hAnsi="Times New Roman"/>
          <w:sz w:val="24"/>
          <w:szCs w:val="24"/>
        </w:rPr>
        <w:t xml:space="preserve">5 gatunków </w:t>
      </w:r>
      <w:r>
        <w:rPr>
          <w:rFonts w:ascii="Times New Roman" w:hAnsi="Times New Roman"/>
          <w:sz w:val="24"/>
          <w:szCs w:val="24"/>
        </w:rPr>
        <w:t>gadów</w:t>
      </w:r>
      <w:r w:rsidRPr="006E052F">
        <w:rPr>
          <w:rFonts w:ascii="Times New Roman" w:hAnsi="Times New Roman"/>
          <w:sz w:val="24"/>
          <w:szCs w:val="24"/>
        </w:rPr>
        <w:t xml:space="preserve">, 56 gatunków ssaków, 32 gatunki ryb oraz 277 gatunków ptaków, z czego 169 lęgowych. </w:t>
      </w:r>
      <w:r>
        <w:rPr>
          <w:rFonts w:ascii="Times New Roman" w:hAnsi="Times New Roman"/>
          <w:sz w:val="24"/>
          <w:szCs w:val="24"/>
        </w:rPr>
        <w:t>Granica parku krajobrazowego w okolicy stawów Niezgoda i Starego przebiega w północnej części obszaru. Przechodzi przez wieś Olsza, następnie biegnie na północ i dochodzi do wsi Gratka.</w:t>
      </w:r>
    </w:p>
    <w:p w:rsidR="000C3338" w:rsidRPr="006E052F" w:rsidRDefault="000C3338" w:rsidP="000C3338">
      <w:pPr>
        <w:spacing w:after="0"/>
        <w:ind w:firstLine="708"/>
        <w:jc w:val="both"/>
        <w:rPr>
          <w:rFonts w:ascii="Times New Roman" w:hAnsi="Times New Roman"/>
          <w:sz w:val="24"/>
          <w:szCs w:val="24"/>
        </w:rPr>
      </w:pPr>
    </w:p>
    <w:p w:rsidR="000C3338" w:rsidRDefault="000C3338" w:rsidP="000C3338">
      <w:pPr>
        <w:spacing w:after="0"/>
        <w:ind w:firstLine="708"/>
        <w:jc w:val="both"/>
        <w:rPr>
          <w:rFonts w:ascii="Times New Roman" w:hAnsi="Times New Roman"/>
          <w:sz w:val="24"/>
          <w:szCs w:val="24"/>
        </w:rPr>
      </w:pPr>
      <w:r w:rsidRPr="006E052F">
        <w:rPr>
          <w:rFonts w:ascii="Times New Roman" w:hAnsi="Times New Roman"/>
          <w:sz w:val="24"/>
          <w:szCs w:val="24"/>
        </w:rPr>
        <w:t xml:space="preserve">Jednocześnie oba stawy leżą na terenie </w:t>
      </w:r>
      <w:r w:rsidRPr="006E052F">
        <w:rPr>
          <w:rFonts w:ascii="Times New Roman" w:hAnsi="Times New Roman"/>
          <w:b/>
          <w:sz w:val="24"/>
          <w:szCs w:val="24"/>
        </w:rPr>
        <w:t>obszaru OSO Natura 2000 „Dolina Baryczy”.</w:t>
      </w:r>
      <w:r w:rsidRPr="006E052F">
        <w:rPr>
          <w:rFonts w:ascii="Times New Roman" w:hAnsi="Times New Roman"/>
          <w:sz w:val="24"/>
          <w:szCs w:val="24"/>
        </w:rPr>
        <w:t xml:space="preserve"> </w:t>
      </w:r>
      <w:r>
        <w:rPr>
          <w:rFonts w:ascii="Times New Roman" w:hAnsi="Times New Roman"/>
          <w:sz w:val="24"/>
          <w:szCs w:val="24"/>
        </w:rPr>
        <w:t xml:space="preserve">Ich granica przebiega na linii Olsza, Witkowo, Gratka. </w:t>
      </w:r>
      <w:r w:rsidRPr="006E052F">
        <w:rPr>
          <w:rFonts w:ascii="Times New Roman" w:hAnsi="Times New Roman"/>
          <w:sz w:val="24"/>
          <w:szCs w:val="24"/>
        </w:rPr>
        <w:t xml:space="preserve">Obszary Natura 2000 to europejska sieć ekologiczna tworzona na obszarach państw należących do Wspólnoty Europejskiej w celu zachowania rodzajów siedlisk przyrodniczych oraz gatunków ważnych dla Wspólnoty. Podstawę do tworzenia obszarów Natura 2000 stanowią dwa dokumenty: Dyrektywa Ptasia zawierająca załącznik w postaci  listy gatunków ptaków cennych z punktu widzenia Wspólnoty oraz Dyrektywa Siedliskowa zawierająca w załączniku listę siedlisk przyrodniczych oraz gatunków. Na podstawie występowania gatunków z obu załączników wyznacza się obszary OSO (obszary specjalnej ochrony ptaków) oraz SOO (specjalne obszary ochrony siedlisk). Opisywany obszar należy do kategorii OSO obejmującej obszary wyznaczone do ochrony dziko występujących ptaków jednego lub wielu gatunków, w którego granicach ptaki mają korzystne warunki bytowania w ciągu całego życia lub w dowolnym jego okresie lub stadium rozwoju. Na obu stawach oraz w ich bezpośrednim sąsiedztwie spotkać można więc następujące gatunki ptaków: bączka, bąka, zimorodka, cyrankę, rycyka, bielika, błotniaka stawowego, kanię czarną, czajkę, gęś zbożową, gęgawę, czaplę białą, żurawia i wiele innych. </w:t>
      </w:r>
    </w:p>
    <w:p w:rsidR="000C3338" w:rsidRPr="006E052F" w:rsidRDefault="000C3338" w:rsidP="000C3338">
      <w:pPr>
        <w:spacing w:after="0"/>
        <w:ind w:firstLine="708"/>
        <w:jc w:val="both"/>
        <w:rPr>
          <w:rFonts w:ascii="Times New Roman" w:hAnsi="Times New Roman"/>
          <w:sz w:val="24"/>
          <w:szCs w:val="24"/>
        </w:rPr>
      </w:pPr>
    </w:p>
    <w:p w:rsidR="000C3338" w:rsidRPr="006E052F" w:rsidRDefault="000C3338" w:rsidP="000C3338">
      <w:pPr>
        <w:spacing w:after="0"/>
        <w:ind w:firstLine="708"/>
        <w:jc w:val="both"/>
        <w:rPr>
          <w:rFonts w:ascii="Times New Roman" w:hAnsi="Times New Roman"/>
          <w:sz w:val="24"/>
          <w:szCs w:val="24"/>
        </w:rPr>
      </w:pPr>
      <w:r w:rsidRPr="006E052F">
        <w:rPr>
          <w:rFonts w:ascii="Times New Roman" w:hAnsi="Times New Roman"/>
          <w:sz w:val="24"/>
          <w:szCs w:val="24"/>
        </w:rPr>
        <w:t>Staw Stary</w:t>
      </w:r>
      <w:r>
        <w:rPr>
          <w:rFonts w:ascii="Times New Roman" w:hAnsi="Times New Roman"/>
          <w:sz w:val="24"/>
          <w:szCs w:val="24"/>
        </w:rPr>
        <w:t xml:space="preserve"> oraz Jamnik I i II objęte</w:t>
      </w:r>
      <w:r w:rsidRPr="006E052F">
        <w:rPr>
          <w:rFonts w:ascii="Times New Roman" w:hAnsi="Times New Roman"/>
          <w:sz w:val="24"/>
          <w:szCs w:val="24"/>
        </w:rPr>
        <w:t xml:space="preserve"> </w:t>
      </w:r>
      <w:r>
        <w:rPr>
          <w:rFonts w:ascii="Times New Roman" w:hAnsi="Times New Roman"/>
          <w:sz w:val="24"/>
          <w:szCs w:val="24"/>
        </w:rPr>
        <w:t>są</w:t>
      </w:r>
      <w:r w:rsidRPr="006E052F">
        <w:rPr>
          <w:rFonts w:ascii="Times New Roman" w:hAnsi="Times New Roman"/>
          <w:sz w:val="24"/>
          <w:szCs w:val="24"/>
        </w:rPr>
        <w:t xml:space="preserve"> ochroną w postaci </w:t>
      </w:r>
      <w:r w:rsidRPr="006E052F">
        <w:rPr>
          <w:rFonts w:ascii="Times New Roman" w:hAnsi="Times New Roman"/>
          <w:b/>
          <w:sz w:val="24"/>
          <w:szCs w:val="24"/>
        </w:rPr>
        <w:t>rezerwatu przyrody „Stawy Milickie”</w:t>
      </w:r>
      <w:r w:rsidRPr="006E052F">
        <w:rPr>
          <w:rFonts w:ascii="Times New Roman" w:hAnsi="Times New Roman"/>
          <w:sz w:val="24"/>
          <w:szCs w:val="24"/>
        </w:rPr>
        <w:t xml:space="preserve">. W skład rezerwatu wchodzi pięć największych kompleksów stawów </w:t>
      </w:r>
      <w:r w:rsidRPr="006E052F">
        <w:rPr>
          <w:rFonts w:ascii="Times New Roman" w:hAnsi="Times New Roman"/>
          <w:sz w:val="24"/>
          <w:szCs w:val="24"/>
        </w:rPr>
        <w:lastRenderedPageBreak/>
        <w:t xml:space="preserve">hodowlanych w dolinie Baryczy (dla przypomnienia: kompleks Stawno, Potasznia, Ruda Sułowska, Jamnik oraz Radziądz – częścią którego jest staw Stary) oraz część lasów i łąk </w:t>
      </w:r>
      <w:r>
        <w:rPr>
          <w:rFonts w:ascii="Times New Roman" w:hAnsi="Times New Roman"/>
          <w:sz w:val="24"/>
          <w:szCs w:val="24"/>
        </w:rPr>
        <w:t xml:space="preserve">               </w:t>
      </w:r>
      <w:r w:rsidRPr="006E052F">
        <w:rPr>
          <w:rFonts w:ascii="Times New Roman" w:hAnsi="Times New Roman"/>
          <w:sz w:val="24"/>
          <w:szCs w:val="24"/>
        </w:rPr>
        <w:t xml:space="preserve">w sąsiedztwie stawów. Rezerwat został utworzony  w celu ochrony wielu cennych i rzadkich gatunków ptaków oraz środowisk wodnych i błotnych stanowiących miejsce ich gniazdowania, żerowania </w:t>
      </w:r>
      <w:r>
        <w:rPr>
          <w:rFonts w:ascii="Times New Roman" w:hAnsi="Times New Roman"/>
          <w:sz w:val="24"/>
          <w:szCs w:val="24"/>
        </w:rPr>
        <w:t xml:space="preserve"> </w:t>
      </w:r>
      <w:r w:rsidRPr="006E052F">
        <w:rPr>
          <w:rFonts w:ascii="Times New Roman" w:hAnsi="Times New Roman"/>
          <w:sz w:val="24"/>
          <w:szCs w:val="24"/>
        </w:rPr>
        <w:t>i odpoczynku.</w:t>
      </w:r>
      <w:r>
        <w:rPr>
          <w:rFonts w:ascii="Times New Roman" w:hAnsi="Times New Roman"/>
          <w:sz w:val="24"/>
          <w:szCs w:val="24"/>
        </w:rPr>
        <w:t xml:space="preserve"> Spotkać tu można </w:t>
      </w:r>
      <w:r w:rsidRPr="006E052F">
        <w:rPr>
          <w:rFonts w:ascii="Times New Roman" w:hAnsi="Times New Roman"/>
          <w:sz w:val="24"/>
          <w:szCs w:val="24"/>
        </w:rPr>
        <w:t>błotniaka stawowego, kanię czarną, czajkę, gęś zbożową, gęgawę, czaplę białą, żurawia</w:t>
      </w:r>
      <w:r>
        <w:rPr>
          <w:rFonts w:ascii="Times New Roman" w:hAnsi="Times New Roman"/>
          <w:sz w:val="24"/>
          <w:szCs w:val="24"/>
        </w:rPr>
        <w:t>, bielika</w:t>
      </w:r>
      <w:r w:rsidRPr="006E052F">
        <w:rPr>
          <w:rFonts w:ascii="Times New Roman" w:hAnsi="Times New Roman"/>
          <w:sz w:val="24"/>
          <w:szCs w:val="24"/>
        </w:rPr>
        <w:t xml:space="preserve"> i wiele innych. </w:t>
      </w:r>
    </w:p>
    <w:p w:rsidR="000C3338" w:rsidRPr="006E052F" w:rsidRDefault="000C3338" w:rsidP="000C3338">
      <w:pPr>
        <w:spacing w:after="0"/>
        <w:ind w:firstLine="708"/>
        <w:jc w:val="both"/>
        <w:rPr>
          <w:rFonts w:ascii="Times New Roman" w:hAnsi="Times New Roman"/>
          <w:sz w:val="24"/>
          <w:szCs w:val="24"/>
        </w:rPr>
      </w:pPr>
    </w:p>
    <w:p w:rsidR="000C3338" w:rsidRDefault="000C3338" w:rsidP="000C3338">
      <w:pPr>
        <w:spacing w:after="0"/>
        <w:ind w:firstLine="708"/>
        <w:jc w:val="both"/>
        <w:rPr>
          <w:rFonts w:ascii="Times New Roman" w:hAnsi="Times New Roman"/>
          <w:sz w:val="24"/>
          <w:szCs w:val="24"/>
        </w:rPr>
      </w:pPr>
      <w:r w:rsidRPr="006E052F">
        <w:rPr>
          <w:rFonts w:ascii="Times New Roman" w:hAnsi="Times New Roman"/>
          <w:sz w:val="24"/>
          <w:szCs w:val="24"/>
        </w:rPr>
        <w:t>Staw Niezgoda nie został objęty tą formą ochrony przyrody ze względu na gospodarkę stawową (możliwość swobodnego prowadzenia prac pielęgnacyjnych na i wokół stawu).</w:t>
      </w:r>
    </w:p>
    <w:p w:rsidR="000C3338" w:rsidRDefault="000C3338" w:rsidP="000C3338">
      <w:pPr>
        <w:spacing w:after="0"/>
        <w:ind w:firstLine="708"/>
        <w:jc w:val="both"/>
        <w:rPr>
          <w:rFonts w:ascii="Times New Roman" w:hAnsi="Times New Roman"/>
          <w:sz w:val="24"/>
          <w:szCs w:val="24"/>
        </w:rPr>
      </w:pPr>
    </w:p>
    <w:p w:rsidR="000C3338" w:rsidRDefault="000C3338" w:rsidP="000C3338">
      <w:pPr>
        <w:spacing w:after="0"/>
        <w:ind w:firstLine="708"/>
        <w:jc w:val="both"/>
        <w:rPr>
          <w:rFonts w:ascii="Times New Roman" w:hAnsi="Times New Roman"/>
          <w:sz w:val="24"/>
          <w:szCs w:val="24"/>
        </w:rPr>
      </w:pPr>
      <w:r w:rsidRPr="00E979B8">
        <w:rPr>
          <w:rFonts w:ascii="Times New Roman" w:hAnsi="Times New Roman"/>
          <w:b/>
          <w:sz w:val="24"/>
          <w:szCs w:val="24"/>
        </w:rPr>
        <w:t xml:space="preserve">Rezerwat przyrody „Olszyny Niezgodzkie” </w:t>
      </w:r>
      <w:r w:rsidRPr="00E979B8">
        <w:rPr>
          <w:rFonts w:ascii="Times New Roman" w:hAnsi="Times New Roman"/>
          <w:sz w:val="24"/>
          <w:szCs w:val="24"/>
        </w:rPr>
        <w:t xml:space="preserve">został utworzony przez Niemców na terenie położonym na </w:t>
      </w:r>
      <w:r>
        <w:rPr>
          <w:rFonts w:ascii="Times New Roman" w:hAnsi="Times New Roman"/>
          <w:sz w:val="24"/>
          <w:szCs w:val="24"/>
        </w:rPr>
        <w:t>południe</w:t>
      </w:r>
      <w:r w:rsidRPr="00E979B8">
        <w:rPr>
          <w:rFonts w:ascii="Times New Roman" w:hAnsi="Times New Roman"/>
          <w:sz w:val="24"/>
          <w:szCs w:val="24"/>
        </w:rPr>
        <w:t xml:space="preserve"> od wsi Niezgoda.</w:t>
      </w:r>
      <w:r>
        <w:rPr>
          <w:rFonts w:ascii="Times New Roman" w:hAnsi="Times New Roman"/>
          <w:sz w:val="24"/>
          <w:szCs w:val="24"/>
        </w:rPr>
        <w:t xml:space="preserve"> Swoją zachodnią granicą dolega do drogi Niezgoda-Ruda Żmigrodzka. Południowa granica rezerwatu dochodzi prawie do zabudowań wsi Ruda Żmigrodzka, a wschodnia kończy się na wysokości stawu Niezgoda. </w:t>
      </w:r>
      <w:r w:rsidRPr="00E979B8">
        <w:rPr>
          <w:rFonts w:ascii="Times New Roman" w:hAnsi="Times New Roman"/>
          <w:sz w:val="24"/>
          <w:szCs w:val="24"/>
        </w:rPr>
        <w:t xml:space="preserve">Rezerwat posiada wybitne walory przyrodnicze. Początkowo obejmował obszar ponad 200 ha podmokłych olsów porastających dolinę Ługi i nosił nazwę </w:t>
      </w:r>
      <w:r w:rsidRPr="00E979B8">
        <w:rPr>
          <w:rFonts w:ascii="Times New Roman" w:hAnsi="Times New Roman"/>
          <w:i/>
          <w:sz w:val="24"/>
          <w:szCs w:val="24"/>
        </w:rPr>
        <w:t>Die Luge.</w:t>
      </w:r>
      <w:r w:rsidRPr="00E979B8">
        <w:rPr>
          <w:rFonts w:ascii="Times New Roman" w:hAnsi="Times New Roman"/>
          <w:sz w:val="24"/>
          <w:szCs w:val="24"/>
        </w:rPr>
        <w:t xml:space="preserve"> Niestety po 1945 roku rozpoczęto tu planową gospodarkę leśną i okrojono rezerwat do 74 ha. Teren rezerwatu porośnięty jest silnie podtopionym lasem olsowym budowie kępkowo-dolinkowej. W</w:t>
      </w:r>
      <w:r>
        <w:rPr>
          <w:rFonts w:ascii="Times New Roman" w:hAnsi="Times New Roman"/>
          <w:sz w:val="24"/>
          <w:szCs w:val="24"/>
        </w:rPr>
        <w:t>śród roślin na uwagę zasługują: nerecznica szerokolistna, turzyca długokłosa, kosaciec żółty, bluszcz pospolity, kalina koralowa.</w:t>
      </w:r>
    </w:p>
    <w:p w:rsidR="000C3338" w:rsidRDefault="000C3338" w:rsidP="000C3338">
      <w:pPr>
        <w:spacing w:after="0"/>
        <w:ind w:firstLine="708"/>
        <w:jc w:val="both"/>
        <w:rPr>
          <w:rFonts w:ascii="Times New Roman" w:hAnsi="Times New Roman"/>
          <w:sz w:val="24"/>
          <w:szCs w:val="24"/>
        </w:rPr>
      </w:pPr>
    </w:p>
    <w:p w:rsidR="000C3338" w:rsidRDefault="000C3338" w:rsidP="000C3338">
      <w:pPr>
        <w:spacing w:after="0"/>
        <w:ind w:firstLine="708"/>
        <w:jc w:val="both"/>
        <w:rPr>
          <w:rFonts w:ascii="Times New Roman" w:hAnsi="Times New Roman"/>
          <w:sz w:val="24"/>
          <w:szCs w:val="24"/>
        </w:rPr>
      </w:pPr>
      <w:r w:rsidRPr="009F20AB">
        <w:rPr>
          <w:rFonts w:ascii="Times New Roman" w:hAnsi="Times New Roman"/>
          <w:sz w:val="24"/>
          <w:szCs w:val="24"/>
        </w:rPr>
        <w:t xml:space="preserve">"Staw Północny" to rozległy obszar łąkowo-bagienny objęty ochroną w postaci </w:t>
      </w:r>
      <w:r w:rsidRPr="009F20AB">
        <w:rPr>
          <w:rFonts w:ascii="Times New Roman" w:hAnsi="Times New Roman"/>
          <w:b/>
          <w:sz w:val="24"/>
          <w:szCs w:val="24"/>
        </w:rPr>
        <w:t>użytku ekologicznego</w:t>
      </w:r>
      <w:r>
        <w:rPr>
          <w:rFonts w:ascii="Times New Roman" w:hAnsi="Times New Roman"/>
          <w:sz w:val="24"/>
          <w:szCs w:val="24"/>
        </w:rPr>
        <w:t xml:space="preserve"> jest to </w:t>
      </w:r>
      <w:r w:rsidRPr="009F20AB">
        <w:rPr>
          <w:rFonts w:ascii="Times New Roman" w:hAnsi="Times New Roman"/>
          <w:sz w:val="24"/>
          <w:szCs w:val="24"/>
        </w:rPr>
        <w:t>silnie zarośnięty staw z licznymi stanowiskami roślin chronionych wraz z graniczącymi z nim ugorami o łącznej powierzchni około 58 ha, położony na północny-wschód od stawu Stary.</w:t>
      </w:r>
    </w:p>
    <w:p w:rsidR="000C3338" w:rsidRPr="009F20AB" w:rsidRDefault="000C3338" w:rsidP="000C3338">
      <w:pPr>
        <w:spacing w:after="0"/>
        <w:ind w:firstLine="708"/>
        <w:jc w:val="both"/>
        <w:rPr>
          <w:rFonts w:ascii="Times New Roman" w:hAnsi="Times New Roman"/>
          <w:sz w:val="24"/>
          <w:szCs w:val="24"/>
        </w:rPr>
      </w:pPr>
    </w:p>
    <w:p w:rsidR="000C3338" w:rsidRPr="009F20AB" w:rsidRDefault="000C3338" w:rsidP="000C3338">
      <w:pPr>
        <w:spacing w:after="0"/>
        <w:ind w:firstLine="708"/>
        <w:jc w:val="both"/>
        <w:rPr>
          <w:rFonts w:ascii="Times New Roman" w:hAnsi="Times New Roman"/>
          <w:sz w:val="24"/>
          <w:szCs w:val="24"/>
        </w:rPr>
      </w:pPr>
      <w:r w:rsidRPr="009F20AB">
        <w:rPr>
          <w:rFonts w:ascii="Times New Roman" w:hAnsi="Times New Roman"/>
          <w:sz w:val="24"/>
          <w:szCs w:val="24"/>
        </w:rPr>
        <w:t>Na południe od wsi Niezgoda przy drodze</w:t>
      </w:r>
      <w:r>
        <w:rPr>
          <w:rFonts w:ascii="Times New Roman" w:hAnsi="Times New Roman"/>
          <w:sz w:val="24"/>
          <w:szCs w:val="24"/>
        </w:rPr>
        <w:t xml:space="preserve"> do Rudy Żmigrodzkiej, przy pierwszym od północy zakręcie drogi, znajduje się </w:t>
      </w:r>
      <w:r>
        <w:rPr>
          <w:rFonts w:ascii="Times New Roman" w:hAnsi="Times New Roman"/>
          <w:b/>
          <w:sz w:val="24"/>
          <w:szCs w:val="24"/>
        </w:rPr>
        <w:t xml:space="preserve">pomnikowy  dąb </w:t>
      </w:r>
      <w:r w:rsidRPr="00BB0378">
        <w:rPr>
          <w:rFonts w:ascii="Times New Roman" w:hAnsi="Times New Roman"/>
          <w:sz w:val="24"/>
          <w:szCs w:val="24"/>
        </w:rPr>
        <w:t>o obwodzie 675 cm</w:t>
      </w:r>
      <w:r>
        <w:rPr>
          <w:rFonts w:ascii="Times New Roman" w:hAnsi="Times New Roman"/>
          <w:sz w:val="24"/>
          <w:szCs w:val="24"/>
        </w:rPr>
        <w:t>. Na jego korze widać ślady żerowania kozioroga dębosza.</w:t>
      </w:r>
    </w:p>
    <w:p w:rsidR="000C3338" w:rsidRDefault="000C3338" w:rsidP="000C3338">
      <w:pPr>
        <w:spacing w:after="0"/>
        <w:ind w:firstLine="708"/>
        <w:jc w:val="both"/>
        <w:rPr>
          <w:rFonts w:ascii="Times New Roman" w:hAnsi="Times New Roman"/>
          <w:b/>
          <w:sz w:val="24"/>
          <w:szCs w:val="24"/>
        </w:rPr>
      </w:pPr>
    </w:p>
    <w:p w:rsidR="000C3338" w:rsidRPr="00CD4003" w:rsidRDefault="000C3338" w:rsidP="000C3338">
      <w:pPr>
        <w:spacing w:after="0"/>
        <w:ind w:firstLine="708"/>
        <w:jc w:val="both"/>
        <w:rPr>
          <w:rFonts w:ascii="Times New Roman" w:hAnsi="Times New Roman"/>
          <w:b/>
          <w:sz w:val="24"/>
          <w:szCs w:val="24"/>
        </w:rPr>
      </w:pPr>
      <w:r w:rsidRPr="00CD4003">
        <w:rPr>
          <w:rFonts w:ascii="Times New Roman" w:hAnsi="Times New Roman"/>
          <w:b/>
          <w:sz w:val="24"/>
          <w:szCs w:val="24"/>
        </w:rPr>
        <w:t>Inne formy ochrony:</w:t>
      </w:r>
    </w:p>
    <w:p w:rsidR="000C3338" w:rsidRDefault="000C3338" w:rsidP="000C3338">
      <w:pPr>
        <w:spacing w:after="0"/>
        <w:ind w:firstLine="708"/>
        <w:jc w:val="both"/>
        <w:rPr>
          <w:rFonts w:ascii="Times New Roman" w:hAnsi="Times New Roman"/>
          <w:sz w:val="24"/>
          <w:szCs w:val="24"/>
        </w:rPr>
      </w:pPr>
      <w:r w:rsidRPr="006E052F">
        <w:rPr>
          <w:rFonts w:ascii="Times New Roman" w:hAnsi="Times New Roman"/>
          <w:b/>
          <w:sz w:val="24"/>
          <w:szCs w:val="24"/>
        </w:rPr>
        <w:t>Konwencja ramsarska</w:t>
      </w:r>
      <w:r w:rsidRPr="006E052F">
        <w:rPr>
          <w:rFonts w:ascii="Times New Roman" w:hAnsi="Times New Roman"/>
          <w:sz w:val="24"/>
          <w:szCs w:val="24"/>
        </w:rPr>
        <w:t xml:space="preserve"> to potoczna nazwa układu międzynarodowego dotyczącego ochrony przyrody,</w:t>
      </w:r>
      <w:r>
        <w:rPr>
          <w:rFonts w:ascii="Times New Roman" w:hAnsi="Times New Roman"/>
          <w:sz w:val="24"/>
          <w:szCs w:val="24"/>
        </w:rPr>
        <w:t xml:space="preserve"> podpisanego</w:t>
      </w:r>
      <w:r w:rsidRPr="006E052F">
        <w:rPr>
          <w:rFonts w:ascii="Times New Roman" w:hAnsi="Times New Roman"/>
          <w:sz w:val="24"/>
          <w:szCs w:val="24"/>
        </w:rPr>
        <w:t xml:space="preserve">  w 1971 roku podczas konferencji w irańskim kurorcie Ramsar. Celem porozumienia jest ochrona obszarów wodno-błotnych, cennych ze względu na zamieszkujące je lub okresowo na nich przebywające ptaki. Stawy i ich okolica stanowią nie tylko miejsce, w którym ptaki zakładają lęgi oraz wychowują potomstwo, to również znakomite miejsce żerowania w okresie jesiennym, gdy ze stawów spuszczana jest woda. Wówczas odsłonięte dno z mnóstwem bezkręgowców stanowi swoistą stołówkę dla ptaków brodzących, będących wtedy na przelotach (siewek, sieweczek, brodźców).</w:t>
      </w:r>
    </w:p>
    <w:p w:rsidR="000C3338" w:rsidRDefault="000C3338" w:rsidP="000C3338">
      <w:pPr>
        <w:spacing w:after="0"/>
        <w:ind w:firstLine="708"/>
        <w:jc w:val="both"/>
        <w:rPr>
          <w:rFonts w:ascii="Times New Roman" w:hAnsi="Times New Roman"/>
          <w:sz w:val="24"/>
          <w:szCs w:val="24"/>
        </w:rPr>
      </w:pPr>
    </w:p>
    <w:p w:rsidR="000C3338" w:rsidRPr="007B7339" w:rsidRDefault="000C3338" w:rsidP="000C3338">
      <w:pPr>
        <w:spacing w:after="0"/>
        <w:ind w:firstLine="708"/>
        <w:jc w:val="both"/>
        <w:rPr>
          <w:rFonts w:ascii="Times New Roman" w:hAnsi="Times New Roman"/>
          <w:sz w:val="24"/>
          <w:szCs w:val="24"/>
        </w:rPr>
      </w:pPr>
      <w:r w:rsidRPr="00156BE9">
        <w:rPr>
          <w:rFonts w:ascii="Times New Roman" w:hAnsi="Times New Roman"/>
          <w:b/>
          <w:sz w:val="24"/>
          <w:szCs w:val="24"/>
        </w:rPr>
        <w:t>Społeczny rezerwat przyrody Niezgoda</w:t>
      </w:r>
      <w:r w:rsidRPr="00156BE9">
        <w:rPr>
          <w:rFonts w:ascii="Times New Roman" w:hAnsi="Times New Roman"/>
          <w:sz w:val="24"/>
          <w:szCs w:val="24"/>
        </w:rPr>
        <w:t>. Jest to obszar położony na zachód od stawu Niezgoda</w:t>
      </w:r>
      <w:r>
        <w:rPr>
          <w:rFonts w:ascii="Times New Roman" w:hAnsi="Times New Roman"/>
          <w:sz w:val="24"/>
          <w:szCs w:val="24"/>
        </w:rPr>
        <w:t xml:space="preserve"> II</w:t>
      </w:r>
      <w:r w:rsidRPr="00156BE9">
        <w:rPr>
          <w:rFonts w:ascii="Times New Roman" w:hAnsi="Times New Roman"/>
          <w:sz w:val="24"/>
          <w:szCs w:val="24"/>
        </w:rPr>
        <w:t>, w dolinie rzeczki Wilczyna</w:t>
      </w:r>
      <w:r>
        <w:rPr>
          <w:rFonts w:ascii="Times New Roman" w:hAnsi="Times New Roman"/>
          <w:sz w:val="24"/>
          <w:szCs w:val="24"/>
        </w:rPr>
        <w:t>, na południe od wsi Wilkowo</w:t>
      </w:r>
      <w:r w:rsidRPr="00156BE9">
        <w:rPr>
          <w:rFonts w:ascii="Times New Roman" w:hAnsi="Times New Roman"/>
          <w:sz w:val="24"/>
          <w:szCs w:val="24"/>
        </w:rPr>
        <w:t xml:space="preserve">. Znajdują się tam łąki turzycowe o powierzchni ok. 15 ha. Występuje tu kszyk, żerują bociany białe i ptaki wodne </w:t>
      </w:r>
      <w:r w:rsidRPr="00156BE9">
        <w:rPr>
          <w:rFonts w:ascii="Times New Roman" w:hAnsi="Times New Roman"/>
          <w:sz w:val="24"/>
          <w:szCs w:val="24"/>
        </w:rPr>
        <w:lastRenderedPageBreak/>
        <w:t>pobliskich stawów.</w:t>
      </w:r>
      <w:r>
        <w:rPr>
          <w:rFonts w:ascii="Times New Roman" w:hAnsi="Times New Roman"/>
          <w:sz w:val="24"/>
          <w:szCs w:val="24"/>
        </w:rPr>
        <w:t xml:space="preserve"> Obszar nie wyróżniał się pierwotnie wybitnymi walorami przyrodniczymi, ale został wykupiony przez organizację ekologiczną po to aby przyroda sama mogła rządzić się na nim własnymi prawami.</w:t>
      </w:r>
    </w:p>
    <w:p w:rsidR="00FE7524" w:rsidRPr="000C3338" w:rsidRDefault="00FE7524" w:rsidP="000C3338"/>
    <w:sectPr w:rsidR="00FE7524" w:rsidRPr="000C3338" w:rsidSect="0053511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0D7" w:rsidRDefault="00E760D7" w:rsidP="0053511B">
      <w:pPr>
        <w:spacing w:after="0" w:line="240" w:lineRule="auto"/>
      </w:pPr>
      <w:r>
        <w:separator/>
      </w:r>
    </w:p>
  </w:endnote>
  <w:endnote w:type="continuationSeparator" w:id="0">
    <w:p w:rsidR="00E760D7" w:rsidRDefault="00E760D7"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0D7" w:rsidRDefault="00E760D7" w:rsidP="0053511B">
      <w:pPr>
        <w:spacing w:after="0" w:line="240" w:lineRule="auto"/>
      </w:pPr>
      <w:r>
        <w:separator/>
      </w:r>
    </w:p>
  </w:footnote>
  <w:footnote w:type="continuationSeparator" w:id="0">
    <w:p w:rsidR="00E760D7" w:rsidRDefault="00E760D7"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42E19"/>
    <w:multiLevelType w:val="hybridMultilevel"/>
    <w:tmpl w:val="05C016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3E55744C"/>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nsid w:val="75115E7D"/>
    <w:multiLevelType w:val="hybridMultilevel"/>
    <w:tmpl w:val="69BE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8E12C3B"/>
    <w:multiLevelType w:val="hybridMultilevel"/>
    <w:tmpl w:val="FD0C7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DBB4CCE"/>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3511B"/>
    <w:rsid w:val="000C3338"/>
    <w:rsid w:val="00252338"/>
    <w:rsid w:val="00275FC7"/>
    <w:rsid w:val="00300E27"/>
    <w:rsid w:val="003B3E85"/>
    <w:rsid w:val="00524CBB"/>
    <w:rsid w:val="0053511B"/>
    <w:rsid w:val="005927E7"/>
    <w:rsid w:val="005E2D69"/>
    <w:rsid w:val="006C19D4"/>
    <w:rsid w:val="00711916"/>
    <w:rsid w:val="007E5122"/>
    <w:rsid w:val="00805B2D"/>
    <w:rsid w:val="00875030"/>
    <w:rsid w:val="00A14E6D"/>
    <w:rsid w:val="00CF0943"/>
    <w:rsid w:val="00E760D7"/>
    <w:rsid w:val="00EA366B"/>
    <w:rsid w:val="00F32A1A"/>
    <w:rsid w:val="00F863C2"/>
    <w:rsid w:val="00FE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Akapitzlist1">
    <w:name w:val="Akapit z listą1"/>
    <w:basedOn w:val="Normalny"/>
    <w:uiPriority w:val="99"/>
    <w:rsid w:val="003B3E85"/>
    <w:pPr>
      <w:ind w:left="720"/>
      <w:contextualSpacing/>
    </w:pPr>
    <w:rPr>
      <w:rFonts w:eastAsia="Times New Roman"/>
      <w:lang w:val="pl-PL"/>
    </w:rPr>
  </w:style>
  <w:style w:type="paragraph" w:customStyle="1" w:styleId="ListParagraph1">
    <w:name w:val="List Paragraph1"/>
    <w:basedOn w:val="Normalny"/>
    <w:rsid w:val="00300E27"/>
    <w:pPr>
      <w:ind w:left="720"/>
      <w:contextualSpacing/>
    </w:pPr>
    <w:rPr>
      <w:rFonts w:eastAsia="Times New Roman"/>
      <w:lang w:val="pl-PL"/>
    </w:rPr>
  </w:style>
  <w:style w:type="paragraph" w:styleId="Akapitzlist">
    <w:name w:val="List Paragraph"/>
    <w:basedOn w:val="Normalny"/>
    <w:uiPriority w:val="99"/>
    <w:qFormat/>
    <w:rsid w:val="00524CBB"/>
    <w:pPr>
      <w:ind w:left="720"/>
      <w:contextualSpacing/>
    </w:pPr>
    <w:rPr>
      <w:lang w:val="pl-PL"/>
    </w:rPr>
  </w:style>
  <w:style w:type="table" w:styleId="Tabela-Siatka">
    <w:name w:val="Table Grid"/>
    <w:basedOn w:val="Standardowy"/>
    <w:rsid w:val="007E5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2014-12-30T18:29:00Z</dcterms:created>
  <dcterms:modified xsi:type="dcterms:W3CDTF">2014-12-30T18:29:00Z</dcterms:modified>
</cp:coreProperties>
</file>