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19" w:rsidRDefault="00327919" w:rsidP="003279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27919" w:rsidRDefault="00327919" w:rsidP="00327919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Akwakultura.</w:t>
      </w:r>
    </w:p>
    <w:p w:rsidR="00327919" w:rsidRPr="00DD43FA" w:rsidRDefault="00327919" w:rsidP="00327919">
      <w:pPr>
        <w:spacing w:line="360" w:lineRule="auto"/>
        <w:rPr>
          <w:b/>
        </w:rPr>
      </w:pPr>
      <w:r w:rsidRPr="006D0573">
        <w:rPr>
          <w:b/>
        </w:rPr>
        <w:t>Cel zajęć:</w:t>
      </w:r>
      <w:r>
        <w:rPr>
          <w:b/>
        </w:rPr>
        <w:t xml:space="preserve"> </w:t>
      </w:r>
      <w:r>
        <w:t>z</w:t>
      </w:r>
      <w:r w:rsidRPr="00DD43FA">
        <w:t xml:space="preserve">apoznanie uczniów z </w:t>
      </w:r>
      <w:r w:rsidRPr="00DD43FA">
        <w:rPr>
          <w:i/>
        </w:rPr>
        <w:t>akwakulturą</w:t>
      </w:r>
      <w:r>
        <w:rPr>
          <w:i/>
        </w:rPr>
        <w:t>.</w:t>
      </w:r>
    </w:p>
    <w:p w:rsidR="00327919" w:rsidRDefault="00327919" w:rsidP="00327919">
      <w:pPr>
        <w:spacing w:line="360" w:lineRule="auto"/>
        <w:rPr>
          <w:b/>
        </w:rPr>
      </w:pPr>
      <w:r w:rsidRPr="006D0573">
        <w:rPr>
          <w:b/>
        </w:rPr>
        <w:t>Cele operacyjne:</w:t>
      </w:r>
    </w:p>
    <w:p w:rsidR="00327919" w:rsidRDefault="00327919" w:rsidP="00327919">
      <w:pPr>
        <w:spacing w:line="360" w:lineRule="auto"/>
      </w:pPr>
      <w:r w:rsidRPr="00DD43FA">
        <w:t>Uczeń:</w:t>
      </w:r>
    </w:p>
    <w:p w:rsidR="00327919" w:rsidRDefault="00327919" w:rsidP="00327919">
      <w:pPr>
        <w:spacing w:line="360" w:lineRule="auto"/>
        <w:rPr>
          <w:i/>
        </w:rPr>
      </w:pPr>
      <w:r>
        <w:t>- wyjaśnia pojęcie „</w:t>
      </w:r>
      <w:r>
        <w:rPr>
          <w:i/>
        </w:rPr>
        <w:t>akwakultura”,</w:t>
      </w:r>
    </w:p>
    <w:p w:rsidR="00327919" w:rsidRDefault="00327919" w:rsidP="00327919">
      <w:pPr>
        <w:spacing w:line="360" w:lineRule="auto"/>
      </w:pPr>
      <w:r>
        <w:t>- wymienia gatunki produkowane w ramach akwakultury w UE,</w:t>
      </w:r>
    </w:p>
    <w:p w:rsidR="00327919" w:rsidRDefault="00327919" w:rsidP="00327919">
      <w:pPr>
        <w:spacing w:line="360" w:lineRule="auto"/>
      </w:pPr>
      <w:r>
        <w:t>- poznaje sposoby produkcji w stawach,</w:t>
      </w:r>
    </w:p>
    <w:p w:rsidR="00327919" w:rsidRDefault="00327919" w:rsidP="00327919">
      <w:pPr>
        <w:spacing w:line="360" w:lineRule="auto"/>
      </w:pPr>
      <w:r>
        <w:t>- opisuje wpływ akwakultury na środowisko,</w:t>
      </w:r>
    </w:p>
    <w:p w:rsidR="00327919" w:rsidRDefault="00327919" w:rsidP="00327919">
      <w:pPr>
        <w:spacing w:line="360" w:lineRule="auto"/>
      </w:pPr>
      <w:r>
        <w:t>- prowadzi konstruktywną dyskusję na</w:t>
      </w:r>
      <w:r>
        <w:rPr>
          <w:color w:val="0000FF"/>
        </w:rPr>
        <w:t xml:space="preserve"> </w:t>
      </w:r>
      <w:r>
        <w:t>temat „Rodzaj systemu produkcji a bioróżnorodność biologiczna”</w:t>
      </w:r>
    </w:p>
    <w:p w:rsidR="00327919" w:rsidRDefault="00327919" w:rsidP="00327919">
      <w:pPr>
        <w:spacing w:line="360" w:lineRule="auto"/>
      </w:pPr>
      <w:r>
        <w:t>- dzieli się z innymi swoimi doświadczeniami i wiadomościami,</w:t>
      </w:r>
    </w:p>
    <w:p w:rsidR="00327919" w:rsidRPr="006D0573" w:rsidRDefault="00327919" w:rsidP="00327919">
      <w:pPr>
        <w:spacing w:line="360" w:lineRule="auto"/>
        <w:rPr>
          <w:b/>
        </w:rPr>
      </w:pPr>
      <w:r w:rsidRPr="006D0573">
        <w:rPr>
          <w:b/>
        </w:rPr>
        <w:t>Czas trwania:</w:t>
      </w:r>
      <w:r>
        <w:rPr>
          <w:b/>
        </w:rPr>
        <w:t xml:space="preserve"> </w:t>
      </w:r>
      <w:r w:rsidRPr="00AE2038">
        <w:t>2 godziny</w:t>
      </w:r>
    </w:p>
    <w:p w:rsidR="00327919" w:rsidRPr="00AE2038" w:rsidRDefault="00327919" w:rsidP="00327919">
      <w:pPr>
        <w:spacing w:line="360" w:lineRule="auto"/>
      </w:pPr>
      <w:r w:rsidRPr="006D0573">
        <w:rPr>
          <w:b/>
        </w:rPr>
        <w:t xml:space="preserve">Miejsce zajęć: </w:t>
      </w:r>
      <w:r w:rsidRPr="00AE2038">
        <w:t>ścieżka przyrodnicza</w:t>
      </w:r>
      <w:r>
        <w:t xml:space="preserve"> na terenie</w:t>
      </w:r>
      <w:r w:rsidRPr="00AE2038">
        <w:t xml:space="preserve"> PK „Dolina Baryczy”</w:t>
      </w:r>
    </w:p>
    <w:p w:rsidR="00327919" w:rsidRPr="0043260F" w:rsidRDefault="00327919" w:rsidP="00327919">
      <w:pPr>
        <w:spacing w:line="360" w:lineRule="auto"/>
      </w:pPr>
      <w:r w:rsidRPr="006D0573">
        <w:rPr>
          <w:b/>
        </w:rPr>
        <w:t>Pomoce dydaktyczne:</w:t>
      </w:r>
      <w:r>
        <w:rPr>
          <w:b/>
        </w:rPr>
        <w:t xml:space="preserve"> </w:t>
      </w:r>
      <w:r w:rsidRPr="00E619E5">
        <w:t xml:space="preserve">kartki z definicją </w:t>
      </w:r>
      <w:r>
        <w:rPr>
          <w:i/>
        </w:rPr>
        <w:t xml:space="preserve">akwakultury, </w:t>
      </w:r>
      <w:r w:rsidRPr="0043260F">
        <w:t xml:space="preserve">wykaz gatunków </w:t>
      </w:r>
      <w:r>
        <w:t xml:space="preserve">produkowanych </w:t>
      </w:r>
      <w:r w:rsidRPr="0043260F">
        <w:t>w UE</w:t>
      </w:r>
      <w:r>
        <w:t>, informacje o systemie produkcji w stawach, wykaz dobrych praktyk stosowanych w ramach Natura 2000, kartki papieru A 4, ołówek lub długopis, kredki lub flamastry.</w:t>
      </w:r>
    </w:p>
    <w:p w:rsidR="00327919" w:rsidRDefault="00327919" w:rsidP="00327919">
      <w:pPr>
        <w:spacing w:line="360" w:lineRule="auto"/>
        <w:rPr>
          <w:b/>
        </w:rPr>
      </w:pPr>
      <w:r w:rsidRPr="006D0573">
        <w:rPr>
          <w:b/>
        </w:rPr>
        <w:t>Przebieg zajęć:</w:t>
      </w:r>
    </w:p>
    <w:p w:rsidR="00327919" w:rsidRDefault="00327919" w:rsidP="00327919">
      <w:pPr>
        <w:spacing w:line="360" w:lineRule="auto"/>
        <w:rPr>
          <w:i/>
        </w:rPr>
      </w:pPr>
      <w:r>
        <w:t xml:space="preserve">Podziel uczniów na grupy. Na kartkach papieru formatu A4 zapisz hasło: </w:t>
      </w:r>
      <w:r w:rsidRPr="00886787">
        <w:rPr>
          <w:b/>
          <w:i/>
        </w:rPr>
        <w:t>AK</w:t>
      </w:r>
      <w:r>
        <w:rPr>
          <w:b/>
          <w:i/>
        </w:rPr>
        <w:t>W</w:t>
      </w:r>
      <w:r w:rsidRPr="00886787">
        <w:rPr>
          <w:b/>
          <w:i/>
        </w:rPr>
        <w:t>AKULTURA</w:t>
      </w:r>
      <w:r>
        <w:t xml:space="preserve"> i rozdaj po jednej każdej grupie. Zadaniem uczniów jest wykreślenie w ciągu 15 minut </w:t>
      </w:r>
      <w:r w:rsidRPr="00727808">
        <w:rPr>
          <w:i/>
        </w:rPr>
        <w:t>m</w:t>
      </w:r>
      <w:r w:rsidRPr="00BC7027">
        <w:rPr>
          <w:i/>
        </w:rPr>
        <w:t>apy skojarzeń</w:t>
      </w:r>
      <w:r>
        <w:t xml:space="preserve">. Wyjaśnij na czym polega kreślenie </w:t>
      </w:r>
      <w:r>
        <w:rPr>
          <w:i/>
        </w:rPr>
        <w:t>mapy skojarzeń: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t>narysuj linie odchodzące promieniście od hasła,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t>na gałęziach zapisz pojęcia, które kojarzą się Ci się z hasłem,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t>przyjrzyj się każdej z tych gałęzi i zapisanym na niej pojęciom,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t>nowe skojarzenia zapisz i połącz linią z pojęciem od którego pochodzą,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t>używaj kolorów dla poszczególnych odgałęzień,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lastRenderedPageBreak/>
        <w:t>pisz przejrzyście, używaj dużych liter,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t>główne ramiona rysuj grubą kreską,</w:t>
      </w:r>
    </w:p>
    <w:p w:rsidR="00327919" w:rsidRDefault="00327919" w:rsidP="00327919">
      <w:pPr>
        <w:numPr>
          <w:ilvl w:val="0"/>
          <w:numId w:val="5"/>
        </w:numPr>
        <w:spacing w:after="0" w:line="360" w:lineRule="auto"/>
      </w:pPr>
      <w:r>
        <w:t>zamiast wyrazów można stosować rysunki.</w:t>
      </w:r>
    </w:p>
    <w:p w:rsidR="00327919" w:rsidRPr="00886787" w:rsidRDefault="00327919" w:rsidP="00327919">
      <w:pPr>
        <w:spacing w:line="360" w:lineRule="auto"/>
      </w:pPr>
      <w:r>
        <w:t xml:space="preserve">Po upływie czasu poproś, by poszczególne grupy zaprezentowały wykreślone </w:t>
      </w:r>
      <w:r>
        <w:rPr>
          <w:i/>
        </w:rPr>
        <w:t>mapy skojarzeń.</w:t>
      </w:r>
    </w:p>
    <w:p w:rsidR="00327919" w:rsidRDefault="00327919" w:rsidP="00327919">
      <w:pPr>
        <w:spacing w:line="360" w:lineRule="auto"/>
      </w:pPr>
      <w:r>
        <w:t xml:space="preserve">Nie komentuj poprawności wykonanych </w:t>
      </w:r>
      <w:r>
        <w:rPr>
          <w:i/>
        </w:rPr>
        <w:t>map</w:t>
      </w:r>
      <w:r>
        <w:t>.</w:t>
      </w:r>
    </w:p>
    <w:p w:rsidR="00327919" w:rsidRDefault="00327919" w:rsidP="00327919">
      <w:pPr>
        <w:spacing w:line="360" w:lineRule="auto"/>
      </w:pPr>
      <w:r>
        <w:t xml:space="preserve">Po przedstawieniu wszystkich prac, zapoznaj uczniów z definicją </w:t>
      </w:r>
      <w:r>
        <w:rPr>
          <w:i/>
        </w:rPr>
        <w:t xml:space="preserve">akwakultury </w:t>
      </w:r>
      <w:r>
        <w:t>(rozdaj kartki z definicją):</w:t>
      </w:r>
    </w:p>
    <w:p w:rsidR="00327919" w:rsidRDefault="00327919" w:rsidP="00327919">
      <w:pPr>
        <w:spacing w:line="360" w:lineRule="auto"/>
      </w:pPr>
      <w:r w:rsidRPr="00374EAB">
        <w:rPr>
          <w:rStyle w:val="Pogrubienie"/>
          <w:i/>
          <w:u w:val="single"/>
        </w:rPr>
        <w:t>Akwakultura</w:t>
      </w:r>
      <w:r w:rsidRPr="00374EAB">
        <w:rPr>
          <w:i/>
        </w:rPr>
        <w:t xml:space="preserve"> to dział gospodarki dotyczący produkcji organizmów słodkowodnych i słonowodnych</w:t>
      </w:r>
      <w:r>
        <w:rPr>
          <w:i/>
        </w:rPr>
        <w:t>.</w:t>
      </w:r>
    </w:p>
    <w:p w:rsidR="00327919" w:rsidRDefault="00327919" w:rsidP="00327919">
      <w:pPr>
        <w:spacing w:line="360" w:lineRule="auto"/>
      </w:pPr>
      <w:r>
        <w:t xml:space="preserve">Poproś uczniów by </w:t>
      </w:r>
      <w:r w:rsidRPr="008A2E2E">
        <w:t>spróbowali wyjaśnić dokładnie</w:t>
      </w:r>
      <w:r>
        <w:t xml:space="preserve"> na czym polega </w:t>
      </w:r>
      <w:r>
        <w:rPr>
          <w:i/>
        </w:rPr>
        <w:t xml:space="preserve">akwakultura. </w:t>
      </w:r>
      <w:r>
        <w:t>Tak kieruj rozmową, by uczniowie oprócz wymieniania gatunków hodowlanych( Zał. Nr 1) zwrócili uwagę na działania naukowo-badawcze.</w:t>
      </w:r>
    </w:p>
    <w:p w:rsidR="00327919" w:rsidRPr="005F3A16" w:rsidRDefault="00327919" w:rsidP="00327919">
      <w:pPr>
        <w:spacing w:line="360" w:lineRule="auto"/>
      </w:pPr>
      <w:r>
        <w:t>Przedstaw uczniom gatunki produkowane w ramach akwakultury w Unii Europejskiej (Zał. Nr 2).</w:t>
      </w:r>
    </w:p>
    <w:p w:rsidR="00327919" w:rsidRDefault="00327919" w:rsidP="00327919">
      <w:pPr>
        <w:spacing w:line="360" w:lineRule="auto"/>
      </w:pPr>
      <w:r>
        <w:t xml:space="preserve">Po wyjaśnieniu znaczenie pojęcia </w:t>
      </w:r>
      <w:r>
        <w:rPr>
          <w:i/>
        </w:rPr>
        <w:t>akwakultura</w:t>
      </w:r>
      <w:r>
        <w:t xml:space="preserve"> jeszcze raz wróćcie do wykreślonych </w:t>
      </w:r>
      <w:r w:rsidRPr="001D78DD">
        <w:rPr>
          <w:i/>
        </w:rPr>
        <w:t>map skojarzeń</w:t>
      </w:r>
      <w:r>
        <w:t xml:space="preserve"> i omówcie ich poprawność. </w:t>
      </w:r>
    </w:p>
    <w:p w:rsidR="00327919" w:rsidRDefault="00327919" w:rsidP="00327919">
      <w:pPr>
        <w:spacing w:line="360" w:lineRule="auto"/>
      </w:pPr>
      <w:r>
        <w:t>Podziel zespół klasowy na trzy grupy. Każdej z grup rozdaj informacje na temat jednego systemu produkcji (Zał. Nr 3). Po zapoznaniu się z opisem typu produkcji, zadaniem uczniów jest wypisanie na kartce „+” i „-” poznanego systemu produkcji (czas: 10 minut).</w:t>
      </w:r>
    </w:p>
    <w:p w:rsidR="00327919" w:rsidRDefault="00327919" w:rsidP="00327919">
      <w:pPr>
        <w:spacing w:line="360" w:lineRule="auto"/>
      </w:pPr>
      <w:r>
        <w:t>Przedstawiciele poszczególnych grup odczytują na głos charakterystykę przydzielonego systemu produkcji, a następnie jego „+” i „-”.</w:t>
      </w:r>
    </w:p>
    <w:p w:rsidR="00327919" w:rsidRDefault="00327919" w:rsidP="00327919">
      <w:pPr>
        <w:spacing w:line="360" w:lineRule="auto"/>
      </w:pPr>
      <w:r>
        <w:t>Po omówieniu wszystkich systemów poproś o dyskusję na temat „Czy rodzaj systemu produkcji ma wpływ na bioróżnorodność biologiczna”. Po zakończeniu dyskusji przedstaw dobre praktyki akwakultury stosowane na obszarach Natura 2000 (Zał. Nr 4).</w:t>
      </w:r>
    </w:p>
    <w:p w:rsidR="00327919" w:rsidRDefault="00327919" w:rsidP="00327919">
      <w:pPr>
        <w:spacing w:line="360" w:lineRule="auto"/>
        <w:rPr>
          <w:b/>
        </w:rPr>
      </w:pPr>
      <w:r>
        <w:rPr>
          <w:b/>
        </w:rPr>
        <w:t>Podsumowanie</w:t>
      </w:r>
    </w:p>
    <w:p w:rsidR="00327919" w:rsidRDefault="00327919" w:rsidP="00327919">
      <w:pPr>
        <w:spacing w:line="360" w:lineRule="auto"/>
      </w:pPr>
      <w:r>
        <w:t>Na zakończenie poproś, by uczniowie w poszczególnych grupach wypisali (w ciągu 10 minut) przykłady, kiedy wpływ akwakultury na środowisko jest:</w:t>
      </w:r>
    </w:p>
    <w:p w:rsidR="00327919" w:rsidRDefault="00327919" w:rsidP="00327919">
      <w:pPr>
        <w:spacing w:line="360" w:lineRule="auto"/>
      </w:pPr>
      <w:r>
        <w:t>Grupa I – pozytywny</w:t>
      </w:r>
    </w:p>
    <w:p w:rsidR="00327919" w:rsidRDefault="00327919" w:rsidP="00327919">
      <w:pPr>
        <w:spacing w:line="360" w:lineRule="auto"/>
      </w:pPr>
      <w:r>
        <w:t>Grupa II – negatywny</w:t>
      </w:r>
    </w:p>
    <w:p w:rsidR="00327919" w:rsidRDefault="00327919" w:rsidP="00327919">
      <w:pPr>
        <w:spacing w:line="360" w:lineRule="auto"/>
      </w:pPr>
      <w:r>
        <w:lastRenderedPageBreak/>
        <w:t>Grupa – III – neutralny</w:t>
      </w:r>
    </w:p>
    <w:p w:rsidR="00327919" w:rsidRPr="00C04723" w:rsidRDefault="00327919" w:rsidP="00327919">
      <w:pPr>
        <w:spacing w:line="360" w:lineRule="auto"/>
      </w:pPr>
      <w:r>
        <w:t>Po upływie wyznaczonego czasu, przedstawiciel grupy zapoznaje wszystkich z przykładami (dopuszczany komentarz).</w:t>
      </w:r>
    </w:p>
    <w:p w:rsidR="00327919" w:rsidRDefault="00327919" w:rsidP="00327919">
      <w:pPr>
        <w:spacing w:line="360" w:lineRule="auto"/>
        <w:rPr>
          <w:b/>
        </w:rPr>
      </w:pPr>
    </w:p>
    <w:p w:rsidR="00327919" w:rsidRPr="00055C15" w:rsidRDefault="00327919" w:rsidP="00327919">
      <w:pPr>
        <w:spacing w:line="360" w:lineRule="auto"/>
        <w:rPr>
          <w:b/>
          <w:sz w:val="28"/>
          <w:szCs w:val="28"/>
        </w:rPr>
      </w:pPr>
      <w:r w:rsidRPr="00055C15">
        <w:rPr>
          <w:b/>
          <w:sz w:val="28"/>
          <w:szCs w:val="28"/>
        </w:rPr>
        <w:t>ZAŁĄCZNIK NR 1</w:t>
      </w:r>
    </w:p>
    <w:p w:rsidR="00327919" w:rsidRPr="00011F8A" w:rsidRDefault="00327919" w:rsidP="00327919">
      <w:pPr>
        <w:spacing w:line="360" w:lineRule="auto"/>
        <w:rPr>
          <w:i/>
        </w:rPr>
      </w:pPr>
      <w:r w:rsidRPr="0044620D">
        <w:rPr>
          <w:b/>
          <w:i/>
          <w:u w:val="single"/>
        </w:rPr>
        <w:t>Akwakultura</w:t>
      </w:r>
      <w:r>
        <w:rPr>
          <w:i/>
        </w:rPr>
        <w:t xml:space="preserve"> to chów i hodowla ryb, mięczaków, skorupiaków, gadów oraz uprawa glonów morskich. </w:t>
      </w:r>
      <w:r w:rsidRPr="0044620D">
        <w:rPr>
          <w:b/>
          <w:i/>
          <w:u w:val="single"/>
        </w:rPr>
        <w:t>Akwakultura</w:t>
      </w:r>
      <w:r w:rsidRPr="009B4B1E">
        <w:rPr>
          <w:i/>
        </w:rPr>
        <w:t xml:space="preserve"> </w:t>
      </w:r>
      <w:r>
        <w:rPr>
          <w:i/>
        </w:rPr>
        <w:t>to również działania</w:t>
      </w:r>
      <w:r w:rsidRPr="009B4B1E">
        <w:rPr>
          <w:i/>
        </w:rPr>
        <w:t xml:space="preserve"> </w:t>
      </w:r>
      <w:r>
        <w:rPr>
          <w:i/>
        </w:rPr>
        <w:t>naukowo-badawcze.</w:t>
      </w:r>
      <w:r w:rsidRPr="009B4B1E">
        <w:rPr>
          <w:i/>
        </w:rPr>
        <w:t xml:space="preserve"> </w:t>
      </w:r>
      <w:r>
        <w:rPr>
          <w:i/>
        </w:rPr>
        <w:t xml:space="preserve">Pojęcia akwakultura </w:t>
      </w:r>
      <w:r>
        <w:rPr>
          <w:b/>
          <w:i/>
        </w:rPr>
        <w:t xml:space="preserve">nie </w:t>
      </w:r>
      <w:r>
        <w:rPr>
          <w:i/>
        </w:rPr>
        <w:t>odnosi się do rybołówstwa czy połowów organizmów wodnych prowadzonych w środowisku, które nie jest zarządzane w szczególny sposób pod kątem ich rozwoju.</w:t>
      </w:r>
    </w:p>
    <w:p w:rsidR="00327919" w:rsidRDefault="00327919" w:rsidP="00327919">
      <w:pPr>
        <w:spacing w:line="360" w:lineRule="auto"/>
      </w:pPr>
    </w:p>
    <w:p w:rsidR="00327919" w:rsidRPr="00055C15" w:rsidRDefault="00327919" w:rsidP="00327919">
      <w:pPr>
        <w:spacing w:line="360" w:lineRule="auto"/>
        <w:rPr>
          <w:b/>
          <w:sz w:val="28"/>
          <w:szCs w:val="28"/>
        </w:rPr>
      </w:pPr>
      <w:r w:rsidRPr="00055C15">
        <w:rPr>
          <w:b/>
          <w:sz w:val="28"/>
          <w:szCs w:val="28"/>
        </w:rPr>
        <w:t>ZAŁĄCZNIK NR 2</w:t>
      </w:r>
    </w:p>
    <w:p w:rsidR="00327919" w:rsidRDefault="00327919" w:rsidP="00327919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5762625" cy="2457450"/>
            <wp:effectExtent l="0" t="0" r="9525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19" w:rsidRDefault="00327919" w:rsidP="00327919">
      <w:pPr>
        <w:spacing w:line="360" w:lineRule="auto"/>
        <w:rPr>
          <w:b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53100" cy="7705725"/>
            <wp:effectExtent l="0" t="0" r="0" b="9525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4FE">
        <w:rPr>
          <w:b/>
        </w:rPr>
        <w:t xml:space="preserve"> </w:t>
      </w:r>
    </w:p>
    <w:p w:rsidR="00327919" w:rsidRPr="00055C15" w:rsidRDefault="00327919" w:rsidP="00327919">
      <w:pPr>
        <w:spacing w:line="360" w:lineRule="auto"/>
        <w:rPr>
          <w:b/>
          <w:sz w:val="28"/>
          <w:szCs w:val="28"/>
        </w:rPr>
      </w:pPr>
      <w:r w:rsidRPr="00055C15">
        <w:rPr>
          <w:b/>
          <w:sz w:val="28"/>
          <w:szCs w:val="28"/>
        </w:rPr>
        <w:t>ZAŁĄCZNIK NR 3</w:t>
      </w:r>
    </w:p>
    <w:p w:rsidR="00327919" w:rsidRDefault="00327919" w:rsidP="00327919">
      <w:pPr>
        <w:autoSpaceDE w:val="0"/>
        <w:autoSpaceDN w:val="0"/>
        <w:adjustRightInd w:val="0"/>
        <w:rPr>
          <w:rFonts w:eastAsia="EuroGaramondEFN"/>
          <w:color w:val="231F20"/>
        </w:rPr>
      </w:pPr>
      <w:r w:rsidRPr="00CA06C1">
        <w:rPr>
          <w:rFonts w:eastAsia="EuroGaramondEFN"/>
          <w:b/>
          <w:bCs/>
          <w:color w:val="231F20"/>
        </w:rPr>
        <w:lastRenderedPageBreak/>
        <w:t>Ekstensywne systemy produkcji</w:t>
      </w:r>
      <w:r w:rsidRPr="00CA06C1">
        <w:rPr>
          <w:rFonts w:eastAsia="EuroGaramondEFN"/>
          <w:color w:val="231F20"/>
        </w:rPr>
        <w:t>. Oparte na zastosowaniu pokarmu naturalnego, znajduj</w:t>
      </w:r>
      <w:r>
        <w:rPr>
          <w:rFonts w:eastAsia="EuroGaramondEFN"/>
          <w:color w:val="231F20"/>
        </w:rPr>
        <w:t>ą</w:t>
      </w:r>
      <w:r w:rsidRPr="00CA06C1">
        <w:rPr>
          <w:rFonts w:eastAsia="EuroGaramondEFN"/>
          <w:color w:val="231F20"/>
        </w:rPr>
        <w:t xml:space="preserve">cego </w:t>
      </w:r>
      <w:r>
        <w:rPr>
          <w:rFonts w:eastAsia="EuroGaramondEFN"/>
          <w:color w:val="231F20"/>
        </w:rPr>
        <w:t>się</w:t>
      </w:r>
      <w:r w:rsidRPr="00CA06C1">
        <w:rPr>
          <w:rFonts w:eastAsia="EuroGaramondEFN"/>
          <w:color w:val="231F20"/>
        </w:rPr>
        <w:t xml:space="preserve"> w tym samym </w:t>
      </w:r>
      <w:r>
        <w:rPr>
          <w:rFonts w:eastAsia="EuroGaramondEFN"/>
          <w:color w:val="231F20"/>
        </w:rPr>
        <w:t>śr</w:t>
      </w:r>
      <w:r w:rsidRPr="00CA06C1">
        <w:rPr>
          <w:rFonts w:eastAsia="EuroGaramondEFN"/>
          <w:color w:val="231F20"/>
        </w:rPr>
        <w:t>odowisku, w kt</w:t>
      </w:r>
      <w:r>
        <w:rPr>
          <w:rFonts w:eastAsia="EuroGaramondEFN"/>
          <w:color w:val="231F20"/>
        </w:rPr>
        <w:t>ór</w:t>
      </w:r>
      <w:r w:rsidRPr="00CA06C1">
        <w:rPr>
          <w:rFonts w:eastAsia="EuroGaramondEFN"/>
          <w:color w:val="231F20"/>
        </w:rPr>
        <w:t>ym prowadzona jest dzia</w:t>
      </w:r>
      <w:r>
        <w:rPr>
          <w:rFonts w:eastAsia="EuroGaramondEFN"/>
          <w:color w:val="231F20"/>
        </w:rPr>
        <w:t>ł</w:t>
      </w:r>
      <w:r w:rsidRPr="00CA06C1">
        <w:rPr>
          <w:rFonts w:eastAsia="EuroGaramondEFN"/>
          <w:color w:val="231F20"/>
        </w:rPr>
        <w:t>alno</w:t>
      </w:r>
      <w:r>
        <w:rPr>
          <w:rFonts w:eastAsia="EuroGaramondEFN"/>
          <w:color w:val="231F20"/>
        </w:rPr>
        <w:t>ść</w:t>
      </w:r>
      <w:r w:rsidRPr="00CA06C1">
        <w:rPr>
          <w:rFonts w:eastAsia="EuroGaramondEFN"/>
          <w:color w:val="231F20"/>
        </w:rPr>
        <w:t xml:space="preserve"> rybacka. Dokarmianie paszami ma tu bardzo niewielkie znaczenie, b</w:t>
      </w:r>
      <w:r>
        <w:rPr>
          <w:rFonts w:eastAsia="EuroGaramondEFN"/>
          <w:color w:val="231F20"/>
        </w:rPr>
        <w:t>ą</w:t>
      </w:r>
      <w:r w:rsidRPr="00CA06C1">
        <w:rPr>
          <w:rFonts w:eastAsia="EuroGaramondEFN"/>
          <w:color w:val="231F20"/>
        </w:rPr>
        <w:t>dź w og</w:t>
      </w:r>
      <w:r>
        <w:rPr>
          <w:rFonts w:eastAsia="EuroGaramondEFN"/>
          <w:color w:val="231F20"/>
        </w:rPr>
        <w:t>ól</w:t>
      </w:r>
      <w:r w:rsidRPr="00CA06C1">
        <w:rPr>
          <w:rFonts w:eastAsia="EuroGaramondEFN"/>
          <w:color w:val="231F20"/>
        </w:rPr>
        <w:t>e nie istnieje.</w:t>
      </w:r>
    </w:p>
    <w:p w:rsidR="00327919" w:rsidRPr="00CA06C1" w:rsidRDefault="00327919" w:rsidP="00327919">
      <w:pPr>
        <w:autoSpaceDE w:val="0"/>
        <w:autoSpaceDN w:val="0"/>
        <w:adjustRightInd w:val="0"/>
        <w:rPr>
          <w:rFonts w:eastAsia="EuroGaramondEFN"/>
          <w:color w:val="231F20"/>
        </w:rPr>
      </w:pPr>
    </w:p>
    <w:p w:rsidR="00327919" w:rsidRDefault="00327919" w:rsidP="00327919">
      <w:pPr>
        <w:autoSpaceDE w:val="0"/>
        <w:autoSpaceDN w:val="0"/>
        <w:adjustRightInd w:val="0"/>
        <w:rPr>
          <w:rFonts w:eastAsia="EuroGaramondEFN"/>
          <w:color w:val="231F20"/>
        </w:rPr>
      </w:pPr>
      <w:r w:rsidRPr="00CA06C1">
        <w:rPr>
          <w:rFonts w:eastAsia="EuroGaramondEFN"/>
          <w:b/>
          <w:bCs/>
          <w:color w:val="231F20"/>
        </w:rPr>
        <w:t>Średnio intensywne systemy produkcji</w:t>
      </w:r>
      <w:r w:rsidRPr="00CA06C1">
        <w:rPr>
          <w:rFonts w:eastAsia="EuroGaramondEFN"/>
          <w:color w:val="231F20"/>
        </w:rPr>
        <w:t>. Stosowane</w:t>
      </w:r>
      <w:r>
        <w:rPr>
          <w:rFonts w:eastAsia="EuroGaramondEFN"/>
          <w:color w:val="231F20"/>
        </w:rPr>
        <w:t xml:space="preserve"> </w:t>
      </w:r>
      <w:r w:rsidRPr="00CA06C1">
        <w:rPr>
          <w:rFonts w:eastAsia="EuroGaramondEFN"/>
          <w:color w:val="231F20"/>
        </w:rPr>
        <w:t>jest tu wy</w:t>
      </w:r>
      <w:r>
        <w:rPr>
          <w:rFonts w:eastAsia="EuroGaramondEFN"/>
          <w:color w:val="231F20"/>
        </w:rPr>
        <w:t>łą</w:t>
      </w:r>
      <w:r w:rsidRPr="00CA06C1">
        <w:rPr>
          <w:rFonts w:eastAsia="EuroGaramondEFN"/>
          <w:color w:val="231F20"/>
        </w:rPr>
        <w:t>cznie nawo</w:t>
      </w:r>
      <w:r>
        <w:rPr>
          <w:rFonts w:eastAsia="EuroGaramondEFN"/>
          <w:color w:val="231F20"/>
        </w:rPr>
        <w:t>ż</w:t>
      </w:r>
      <w:r w:rsidRPr="00CA06C1">
        <w:rPr>
          <w:rFonts w:eastAsia="EuroGaramondEFN"/>
          <w:color w:val="231F20"/>
        </w:rPr>
        <w:t>enie (organiczne i/lub mineralne) w celu stymulowania produkcji pokarmu naturalnego, b</w:t>
      </w:r>
      <w:r>
        <w:rPr>
          <w:rFonts w:eastAsia="EuroGaramondEFN"/>
          <w:color w:val="231F20"/>
        </w:rPr>
        <w:t>ądź</w:t>
      </w:r>
      <w:r w:rsidRPr="00CA06C1">
        <w:rPr>
          <w:rFonts w:eastAsia="EuroGaramondEFN"/>
          <w:color w:val="231F20"/>
        </w:rPr>
        <w:t xml:space="preserve"> te</w:t>
      </w:r>
      <w:r>
        <w:rPr>
          <w:rFonts w:eastAsia="EuroGaramondEFN"/>
          <w:color w:val="231F20"/>
        </w:rPr>
        <w:t>ż</w:t>
      </w:r>
      <w:r w:rsidRPr="00CA06C1">
        <w:rPr>
          <w:rFonts w:eastAsia="EuroGaramondEFN"/>
          <w:color w:val="231F20"/>
        </w:rPr>
        <w:t xml:space="preserve"> </w:t>
      </w:r>
      <w:r>
        <w:rPr>
          <w:rFonts w:eastAsia="EuroGaramondEFN"/>
          <w:color w:val="231F20"/>
        </w:rPr>
        <w:t>ż</w:t>
      </w:r>
      <w:r w:rsidRPr="00CA06C1">
        <w:rPr>
          <w:rFonts w:eastAsia="EuroGaramondEFN"/>
          <w:color w:val="231F20"/>
        </w:rPr>
        <w:t>ywienie pokarmem naturalnym uzupe</w:t>
      </w:r>
      <w:r>
        <w:rPr>
          <w:rFonts w:eastAsia="EuroGaramondEFN"/>
          <w:color w:val="231F20"/>
        </w:rPr>
        <w:t>ł</w:t>
      </w:r>
      <w:r w:rsidRPr="00CA06C1">
        <w:rPr>
          <w:rFonts w:eastAsia="EuroGaramondEFN"/>
          <w:color w:val="231F20"/>
        </w:rPr>
        <w:t>niane jest w niewielkim stopniu paszami.</w:t>
      </w:r>
    </w:p>
    <w:p w:rsidR="00327919" w:rsidRPr="00CA06C1" w:rsidRDefault="00327919" w:rsidP="00327919">
      <w:pPr>
        <w:autoSpaceDE w:val="0"/>
        <w:autoSpaceDN w:val="0"/>
        <w:adjustRightInd w:val="0"/>
        <w:rPr>
          <w:rFonts w:eastAsia="EuroGaramondEFN"/>
          <w:color w:val="231F20"/>
        </w:rPr>
      </w:pPr>
    </w:p>
    <w:p w:rsidR="00327919" w:rsidRPr="00CA06C1" w:rsidRDefault="00327919" w:rsidP="00327919">
      <w:pPr>
        <w:autoSpaceDE w:val="0"/>
        <w:autoSpaceDN w:val="0"/>
        <w:adjustRightInd w:val="0"/>
        <w:rPr>
          <w:rFonts w:eastAsia="EuroGaramondEFN"/>
          <w:color w:val="231F20"/>
        </w:rPr>
      </w:pPr>
      <w:r w:rsidRPr="00CA06C1">
        <w:rPr>
          <w:rFonts w:eastAsia="EuroGaramondEFN"/>
          <w:b/>
          <w:bCs/>
          <w:color w:val="231F20"/>
        </w:rPr>
        <w:t>Intensywne i wysoko intensywne systemy produkcji</w:t>
      </w:r>
      <w:r w:rsidRPr="00CA06C1">
        <w:rPr>
          <w:rFonts w:eastAsia="EuroGaramondEFN"/>
          <w:color w:val="231F20"/>
        </w:rPr>
        <w:t>.</w:t>
      </w:r>
    </w:p>
    <w:p w:rsidR="00327919" w:rsidRPr="00CA06C1" w:rsidRDefault="00327919" w:rsidP="00327919">
      <w:pPr>
        <w:autoSpaceDE w:val="0"/>
        <w:autoSpaceDN w:val="0"/>
        <w:adjustRightInd w:val="0"/>
        <w:rPr>
          <w:rFonts w:eastAsia="EuroGaramondEFN"/>
          <w:color w:val="231F20"/>
        </w:rPr>
      </w:pPr>
      <w:r w:rsidRPr="00CA06C1">
        <w:rPr>
          <w:rFonts w:eastAsia="EuroGaramondEFN"/>
          <w:color w:val="231F20"/>
        </w:rPr>
        <w:t>Ca</w:t>
      </w:r>
      <w:r>
        <w:rPr>
          <w:rFonts w:eastAsia="EuroGaramondEFN"/>
          <w:color w:val="231F20"/>
        </w:rPr>
        <w:t>ł</w:t>
      </w:r>
      <w:r w:rsidRPr="00CA06C1">
        <w:rPr>
          <w:rFonts w:eastAsia="EuroGaramondEFN"/>
          <w:color w:val="231F20"/>
        </w:rPr>
        <w:t xml:space="preserve">kowite zapotrzebowanie </w:t>
      </w:r>
      <w:r>
        <w:rPr>
          <w:rFonts w:eastAsia="EuroGaramondEFN"/>
          <w:color w:val="231F20"/>
        </w:rPr>
        <w:t>ż</w:t>
      </w:r>
      <w:r w:rsidRPr="00CA06C1">
        <w:rPr>
          <w:rFonts w:eastAsia="EuroGaramondEFN"/>
          <w:color w:val="231F20"/>
        </w:rPr>
        <w:t>ywieniowe ryb zaspakajane jest poprzez podawanie pe</w:t>
      </w:r>
      <w:r>
        <w:rPr>
          <w:rFonts w:eastAsia="EuroGaramondEFN"/>
          <w:color w:val="231F20"/>
        </w:rPr>
        <w:t>ł</w:t>
      </w:r>
      <w:r w:rsidRPr="00CA06C1">
        <w:rPr>
          <w:rFonts w:eastAsia="EuroGaramondEFN"/>
          <w:color w:val="231F20"/>
        </w:rPr>
        <w:t>noporcjowych pasz przemys</w:t>
      </w:r>
      <w:r>
        <w:rPr>
          <w:rFonts w:eastAsia="EuroGaramondEFN"/>
          <w:color w:val="231F20"/>
        </w:rPr>
        <w:t>ł</w:t>
      </w:r>
      <w:r w:rsidRPr="00CA06C1">
        <w:rPr>
          <w:rFonts w:eastAsia="EuroGaramondEFN"/>
          <w:color w:val="231F20"/>
        </w:rPr>
        <w:t>owych, z niewielkim udzia</w:t>
      </w:r>
      <w:r>
        <w:rPr>
          <w:rFonts w:eastAsia="EuroGaramondEFN"/>
          <w:color w:val="231F20"/>
        </w:rPr>
        <w:t>ł</w:t>
      </w:r>
      <w:r w:rsidRPr="00CA06C1">
        <w:rPr>
          <w:rFonts w:eastAsia="EuroGaramondEFN"/>
          <w:color w:val="231F20"/>
        </w:rPr>
        <w:t>em zasob</w:t>
      </w:r>
      <w:r>
        <w:rPr>
          <w:rFonts w:eastAsia="EuroGaramondEFN"/>
          <w:color w:val="231F20"/>
        </w:rPr>
        <w:t>ów</w:t>
      </w:r>
      <w:r w:rsidRPr="00CA06C1">
        <w:rPr>
          <w:rFonts w:eastAsia="EuroGaramondEFN"/>
          <w:color w:val="231F20"/>
        </w:rPr>
        <w:t xml:space="preserve"> pochodz</w:t>
      </w:r>
      <w:r>
        <w:rPr>
          <w:rFonts w:eastAsia="EuroGaramondEFN"/>
          <w:color w:val="231F20"/>
        </w:rPr>
        <w:t>ą</w:t>
      </w:r>
      <w:r w:rsidRPr="00CA06C1">
        <w:rPr>
          <w:rFonts w:eastAsia="EuroGaramondEFN"/>
          <w:color w:val="231F20"/>
        </w:rPr>
        <w:t xml:space="preserve">cych ze </w:t>
      </w:r>
      <w:r>
        <w:rPr>
          <w:rFonts w:eastAsia="EuroGaramondEFN"/>
          <w:color w:val="231F20"/>
        </w:rPr>
        <w:t>śr</w:t>
      </w:r>
      <w:r w:rsidRPr="00CA06C1">
        <w:rPr>
          <w:rFonts w:eastAsia="EuroGaramondEFN"/>
          <w:color w:val="231F20"/>
        </w:rPr>
        <w:t>odowiska w</w:t>
      </w:r>
      <w:r>
        <w:rPr>
          <w:rFonts w:eastAsia="EuroGaramondEFN"/>
          <w:color w:val="231F20"/>
        </w:rPr>
        <w:t>ł</w:t>
      </w:r>
      <w:r w:rsidRPr="00CA06C1">
        <w:rPr>
          <w:rFonts w:eastAsia="EuroGaramondEFN"/>
          <w:color w:val="231F20"/>
        </w:rPr>
        <w:t>a</w:t>
      </w:r>
      <w:r>
        <w:rPr>
          <w:rFonts w:eastAsia="EuroGaramondEFN"/>
          <w:color w:val="231F20"/>
        </w:rPr>
        <w:t>śc</w:t>
      </w:r>
      <w:r w:rsidRPr="00CA06C1">
        <w:rPr>
          <w:rFonts w:eastAsia="EuroGaramondEFN"/>
          <w:color w:val="231F20"/>
        </w:rPr>
        <w:t>iwego dla prowadzonej hodowli, b</w:t>
      </w:r>
      <w:r>
        <w:rPr>
          <w:rFonts w:eastAsia="EuroGaramondEFN"/>
          <w:color w:val="231F20"/>
        </w:rPr>
        <w:t>ądź</w:t>
      </w:r>
      <w:r w:rsidRPr="00CA06C1">
        <w:rPr>
          <w:rFonts w:eastAsia="EuroGaramondEFN"/>
          <w:color w:val="231F20"/>
        </w:rPr>
        <w:t xml:space="preserve"> bez ich wykorzystania.</w:t>
      </w:r>
    </w:p>
    <w:p w:rsidR="00327919" w:rsidRDefault="00327919" w:rsidP="00327919">
      <w:pPr>
        <w:spacing w:line="360" w:lineRule="auto"/>
        <w:rPr>
          <w:b/>
        </w:rPr>
      </w:pPr>
    </w:p>
    <w:p w:rsidR="00327919" w:rsidRPr="00055C15" w:rsidRDefault="00327919" w:rsidP="00327919">
      <w:pPr>
        <w:spacing w:line="360" w:lineRule="auto"/>
        <w:rPr>
          <w:b/>
          <w:sz w:val="28"/>
          <w:szCs w:val="28"/>
        </w:rPr>
      </w:pPr>
      <w:r w:rsidRPr="00055C15">
        <w:rPr>
          <w:b/>
          <w:sz w:val="28"/>
          <w:szCs w:val="28"/>
        </w:rPr>
        <w:t>ZAŁĄCZNIK NR 4</w:t>
      </w:r>
    </w:p>
    <w:p w:rsidR="00327919" w:rsidRPr="00EA7F57" w:rsidRDefault="00327919" w:rsidP="00327919">
      <w:pPr>
        <w:autoSpaceDE w:val="0"/>
        <w:autoSpaceDN w:val="0"/>
        <w:adjustRightInd w:val="0"/>
        <w:rPr>
          <w:rFonts w:eastAsia="EuroGaramondEFN"/>
          <w:color w:val="231F20"/>
        </w:rPr>
      </w:pPr>
      <w:r w:rsidRPr="00EA7F57">
        <w:rPr>
          <w:rFonts w:eastAsia="EuroGaramondEFN"/>
          <w:color w:val="231F20"/>
        </w:rPr>
        <w:t>Celem dobrych praktyk jest:</w:t>
      </w:r>
    </w:p>
    <w:p w:rsidR="00327919" w:rsidRPr="008D32FC" w:rsidRDefault="00327919" w:rsidP="003279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EuroGaramondEFN"/>
        </w:rPr>
      </w:pPr>
      <w:r w:rsidRPr="00EA7F57">
        <w:rPr>
          <w:rFonts w:eastAsia="EuroGaramondEFN"/>
          <w:color w:val="231F20"/>
        </w:rPr>
        <w:t>Dostosowanie akwakultury do wymog</w:t>
      </w:r>
      <w:r>
        <w:rPr>
          <w:rFonts w:eastAsia="EuroGaramondEFN"/>
          <w:color w:val="231F20"/>
        </w:rPr>
        <w:t>ów</w:t>
      </w:r>
      <w:r w:rsidRPr="00EA7F57">
        <w:rPr>
          <w:rFonts w:eastAsia="EuroGaramondEFN"/>
          <w:color w:val="231F20"/>
        </w:rPr>
        <w:t xml:space="preserve"> europejskich</w:t>
      </w:r>
      <w:r>
        <w:rPr>
          <w:rFonts w:eastAsia="EuroGaramondEFN"/>
          <w:color w:val="231F20"/>
        </w:rPr>
        <w:t xml:space="preserve"> </w:t>
      </w:r>
      <w:r w:rsidRPr="00EA7F57">
        <w:rPr>
          <w:rFonts w:eastAsia="EuroGaramondEFN"/>
          <w:color w:val="231F20"/>
        </w:rPr>
        <w:t>Dyrektyw, dotycz</w:t>
      </w:r>
      <w:r w:rsidRPr="00EA7F57">
        <w:rPr>
          <w:rFonts w:eastAsia="EuroGaramondEFN" w:hint="eastAsia"/>
          <w:color w:val="231F20"/>
        </w:rPr>
        <w:t>ą</w:t>
      </w:r>
      <w:r w:rsidRPr="00EA7F57">
        <w:rPr>
          <w:rFonts w:eastAsia="EuroGaramondEFN"/>
          <w:color w:val="231F20"/>
        </w:rPr>
        <w:t>cych ochrony r</w:t>
      </w:r>
      <w:r>
        <w:rPr>
          <w:rFonts w:eastAsia="EuroGaramondEFN"/>
          <w:color w:val="231F20"/>
        </w:rPr>
        <w:t>óżnorodnośc</w:t>
      </w:r>
      <w:r w:rsidRPr="00EA7F57">
        <w:rPr>
          <w:rFonts w:eastAsia="EuroGaramondEFN"/>
          <w:color w:val="231F20"/>
        </w:rPr>
        <w:t>i</w:t>
      </w:r>
      <w:r>
        <w:rPr>
          <w:rFonts w:eastAsia="EuroGaramondEFN"/>
          <w:color w:val="231F20"/>
        </w:rPr>
        <w:t xml:space="preserve"> </w:t>
      </w:r>
      <w:r w:rsidRPr="00EA7F57">
        <w:rPr>
          <w:rFonts w:eastAsia="EuroGaramondEFN"/>
          <w:color w:val="231F20"/>
        </w:rPr>
        <w:t xml:space="preserve">biologicznej oraz do </w:t>
      </w:r>
      <w:r w:rsidRPr="008D32FC">
        <w:rPr>
          <w:rFonts w:eastAsia="EuroGaramondEFN"/>
        </w:rPr>
        <w:t>obowiązujących w tym temacie przepisów krajowych.</w:t>
      </w:r>
    </w:p>
    <w:p w:rsidR="00327919" w:rsidRPr="00EA7F57" w:rsidRDefault="00327919" w:rsidP="003279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EuroGaramondEFN"/>
          <w:color w:val="231F20"/>
        </w:rPr>
      </w:pPr>
      <w:r w:rsidRPr="008D32FC">
        <w:rPr>
          <w:rFonts w:eastAsia="EuroGaramondEFN"/>
        </w:rPr>
        <w:t>Zagwarantowanie rozwoju akwakultury zrównowa</w:t>
      </w:r>
      <w:r w:rsidRPr="008D32FC">
        <w:rPr>
          <w:rFonts w:eastAsia="EuroGaramondEFN" w:hint="eastAsia"/>
        </w:rPr>
        <w:t>ż</w:t>
      </w:r>
      <w:r w:rsidRPr="008D32FC">
        <w:rPr>
          <w:rFonts w:eastAsia="EuroGaramondEFN"/>
        </w:rPr>
        <w:t>onej i odpowiedzialnej</w:t>
      </w:r>
      <w:r w:rsidRPr="00EA7F57">
        <w:rPr>
          <w:rFonts w:eastAsia="EuroGaramondEFN"/>
          <w:color w:val="231F20"/>
        </w:rPr>
        <w:t xml:space="preserve"> pod wzgl</w:t>
      </w:r>
      <w:r>
        <w:rPr>
          <w:rFonts w:eastAsia="EuroGaramondEFN"/>
          <w:color w:val="231F20"/>
        </w:rPr>
        <w:t>ęd</w:t>
      </w:r>
      <w:r w:rsidRPr="00EA7F57">
        <w:rPr>
          <w:rFonts w:eastAsia="EuroGaramondEFN"/>
          <w:color w:val="231F20"/>
        </w:rPr>
        <w:t xml:space="preserve">em </w:t>
      </w:r>
      <w:r>
        <w:rPr>
          <w:rFonts w:eastAsia="EuroGaramondEFN"/>
          <w:color w:val="231F20"/>
        </w:rPr>
        <w:t>śr</w:t>
      </w:r>
      <w:r w:rsidRPr="00EA7F57">
        <w:rPr>
          <w:rFonts w:eastAsia="EuroGaramondEFN"/>
          <w:color w:val="231F20"/>
        </w:rPr>
        <w:t>odowiskowym,</w:t>
      </w:r>
      <w:r>
        <w:rPr>
          <w:rFonts w:eastAsia="EuroGaramondEFN"/>
          <w:color w:val="231F20"/>
        </w:rPr>
        <w:t xml:space="preserve"> </w:t>
      </w:r>
      <w:r w:rsidRPr="00EA7F57">
        <w:rPr>
          <w:rFonts w:eastAsia="EuroGaramondEFN"/>
          <w:color w:val="231F20"/>
        </w:rPr>
        <w:t>kt</w:t>
      </w:r>
      <w:r>
        <w:rPr>
          <w:rFonts w:eastAsia="EuroGaramondEFN"/>
          <w:color w:val="231F20"/>
        </w:rPr>
        <w:t>ór</w:t>
      </w:r>
      <w:r w:rsidRPr="00EA7F57">
        <w:rPr>
          <w:rFonts w:eastAsia="EuroGaramondEFN"/>
          <w:color w:val="231F20"/>
        </w:rPr>
        <w:t>a nie zak</w:t>
      </w:r>
      <w:r>
        <w:rPr>
          <w:rFonts w:eastAsia="EuroGaramondEFN"/>
          <w:color w:val="231F20"/>
        </w:rPr>
        <w:t>ł</w:t>
      </w:r>
      <w:r w:rsidRPr="00EA7F57">
        <w:rPr>
          <w:rFonts w:eastAsia="EuroGaramondEFN"/>
          <w:color w:val="231F20"/>
        </w:rPr>
        <w:t>ada niszczenia zasob</w:t>
      </w:r>
      <w:r>
        <w:rPr>
          <w:rFonts w:eastAsia="EuroGaramondEFN"/>
          <w:color w:val="231F20"/>
        </w:rPr>
        <w:t xml:space="preserve">ów </w:t>
      </w:r>
      <w:r w:rsidRPr="00EA7F57">
        <w:rPr>
          <w:rFonts w:eastAsia="EuroGaramondEFN"/>
          <w:color w:val="231F20"/>
        </w:rPr>
        <w:t>naturalnych, niezb</w:t>
      </w:r>
      <w:r>
        <w:rPr>
          <w:rFonts w:eastAsia="EuroGaramondEFN"/>
          <w:color w:val="231F20"/>
        </w:rPr>
        <w:t>ęd</w:t>
      </w:r>
      <w:r w:rsidRPr="00EA7F57">
        <w:rPr>
          <w:rFonts w:eastAsia="EuroGaramondEFN"/>
          <w:color w:val="231F20"/>
        </w:rPr>
        <w:t>nych dla jej istnienia i kt</w:t>
      </w:r>
      <w:r>
        <w:rPr>
          <w:rFonts w:eastAsia="EuroGaramondEFN"/>
          <w:color w:val="231F20"/>
        </w:rPr>
        <w:t>ór</w:t>
      </w:r>
      <w:r w:rsidRPr="00EA7F57">
        <w:rPr>
          <w:rFonts w:eastAsia="EuroGaramondEFN"/>
          <w:color w:val="231F20"/>
        </w:rPr>
        <w:t>a</w:t>
      </w:r>
      <w:r>
        <w:rPr>
          <w:rFonts w:eastAsia="EuroGaramondEFN"/>
          <w:color w:val="231F20"/>
        </w:rPr>
        <w:t xml:space="preserve"> przyczynia się</w:t>
      </w:r>
      <w:r w:rsidRPr="00EA7F57">
        <w:rPr>
          <w:rFonts w:eastAsia="EuroGaramondEFN"/>
          <w:color w:val="231F20"/>
        </w:rPr>
        <w:t xml:space="preserve"> do zachowania korzystnego poziomu</w:t>
      </w:r>
      <w:r>
        <w:rPr>
          <w:rFonts w:eastAsia="EuroGaramondEFN"/>
          <w:color w:val="231F20"/>
        </w:rPr>
        <w:t xml:space="preserve"> </w:t>
      </w:r>
      <w:r w:rsidRPr="00EA7F57">
        <w:rPr>
          <w:rFonts w:eastAsia="EuroGaramondEFN"/>
          <w:color w:val="231F20"/>
        </w:rPr>
        <w:t>ochrony siedlisk i gatunk</w:t>
      </w:r>
      <w:r>
        <w:rPr>
          <w:rFonts w:eastAsia="EuroGaramondEFN"/>
          <w:color w:val="231F20"/>
        </w:rPr>
        <w:t>ów dzikiej</w:t>
      </w:r>
      <w:r w:rsidRPr="00EA7F57">
        <w:rPr>
          <w:rFonts w:eastAsia="EuroGaramondEFN"/>
          <w:color w:val="231F20"/>
        </w:rPr>
        <w:t xml:space="preserve"> </w:t>
      </w:r>
      <w:r>
        <w:rPr>
          <w:rFonts w:eastAsia="EuroGaramondEFN"/>
          <w:color w:val="231F20"/>
        </w:rPr>
        <w:t>f</w:t>
      </w:r>
      <w:r w:rsidRPr="00EA7F57">
        <w:rPr>
          <w:rFonts w:eastAsia="EuroGaramondEFN"/>
          <w:color w:val="231F20"/>
        </w:rPr>
        <w:t>ory i fauny.</w:t>
      </w:r>
    </w:p>
    <w:p w:rsidR="00327919" w:rsidRDefault="00327919" w:rsidP="003279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EuroGaramondEFN"/>
          <w:color w:val="231F20"/>
        </w:rPr>
      </w:pPr>
      <w:r w:rsidRPr="00EA7F57">
        <w:rPr>
          <w:rFonts w:eastAsia="EuroGaramondEFN"/>
          <w:color w:val="231F20"/>
        </w:rPr>
        <w:t>Wspieranie system</w:t>
      </w:r>
      <w:r>
        <w:rPr>
          <w:rFonts w:eastAsia="EuroGaramondEFN"/>
          <w:color w:val="231F20"/>
        </w:rPr>
        <w:t>ów</w:t>
      </w:r>
      <w:r w:rsidRPr="00EA7F57">
        <w:rPr>
          <w:rFonts w:eastAsia="EuroGaramondEFN"/>
          <w:color w:val="231F20"/>
        </w:rPr>
        <w:t xml:space="preserve"> produkcji, kt</w:t>
      </w:r>
      <w:r>
        <w:rPr>
          <w:rFonts w:eastAsia="EuroGaramondEFN"/>
          <w:color w:val="231F20"/>
        </w:rPr>
        <w:t>ór</w:t>
      </w:r>
      <w:r w:rsidRPr="00EA7F57">
        <w:rPr>
          <w:rFonts w:eastAsia="EuroGaramondEFN"/>
          <w:color w:val="231F20"/>
        </w:rPr>
        <w:t>e mog</w:t>
      </w:r>
      <w:r>
        <w:rPr>
          <w:rFonts w:eastAsia="EuroGaramondEFN"/>
          <w:color w:val="231F20"/>
        </w:rPr>
        <w:t>ą sprzyjać</w:t>
      </w:r>
      <w:r w:rsidRPr="00EA7F57">
        <w:rPr>
          <w:rFonts w:eastAsia="EuroGaramondEFN"/>
          <w:color w:val="231F20"/>
        </w:rPr>
        <w:t xml:space="preserve"> zr</w:t>
      </w:r>
      <w:r>
        <w:rPr>
          <w:rFonts w:eastAsia="EuroGaramondEFN"/>
          <w:color w:val="231F20"/>
        </w:rPr>
        <w:t>óż</w:t>
      </w:r>
      <w:r w:rsidRPr="00EA7F57">
        <w:rPr>
          <w:rFonts w:eastAsia="EuroGaramondEFN"/>
          <w:color w:val="231F20"/>
        </w:rPr>
        <w:t>nicowaniu dzia</w:t>
      </w:r>
      <w:r>
        <w:rPr>
          <w:rFonts w:eastAsia="EuroGaramondEFN"/>
          <w:color w:val="231F20"/>
        </w:rPr>
        <w:t>łalnoś</w:t>
      </w:r>
      <w:r w:rsidRPr="00EA7F57">
        <w:rPr>
          <w:rFonts w:eastAsia="EuroGaramondEFN"/>
          <w:color w:val="231F20"/>
        </w:rPr>
        <w:t>ci prowadzonej</w:t>
      </w:r>
      <w:r>
        <w:rPr>
          <w:rFonts w:eastAsia="EuroGaramondEFN"/>
          <w:color w:val="231F20"/>
        </w:rPr>
        <w:t xml:space="preserve"> </w:t>
      </w:r>
      <w:r w:rsidRPr="00EA7F57">
        <w:rPr>
          <w:rFonts w:eastAsia="EuroGaramondEFN"/>
          <w:color w:val="231F20"/>
        </w:rPr>
        <w:t>w gospodarstwach rybackich na obszarach Natura</w:t>
      </w:r>
      <w:r>
        <w:rPr>
          <w:rFonts w:eastAsia="EuroGaramondEFN"/>
          <w:color w:val="231F20"/>
        </w:rPr>
        <w:t xml:space="preserve"> 2000 i prowadzi</w:t>
      </w:r>
      <w:r w:rsidRPr="00EA7F57">
        <w:rPr>
          <w:rFonts w:eastAsia="EuroGaramondEFN"/>
          <w:color w:val="231F20"/>
        </w:rPr>
        <w:t xml:space="preserve"> do uznania ich za </w:t>
      </w:r>
      <w:r>
        <w:rPr>
          <w:rFonts w:eastAsia="EuroGaramondEFN"/>
          <w:color w:val="231F20"/>
        </w:rPr>
        <w:t>„</w:t>
      </w:r>
      <w:r w:rsidRPr="00EA7F57">
        <w:rPr>
          <w:rFonts w:eastAsia="EuroGaramondEFN"/>
          <w:color w:val="231F20"/>
        </w:rPr>
        <w:t>przyjazne</w:t>
      </w:r>
      <w:r>
        <w:rPr>
          <w:rFonts w:eastAsia="EuroGaramondEFN"/>
          <w:color w:val="231F20"/>
        </w:rPr>
        <w:t xml:space="preserve"> śr</w:t>
      </w:r>
      <w:r w:rsidRPr="00EA7F57">
        <w:rPr>
          <w:rFonts w:eastAsia="EuroGaramondEFN"/>
          <w:color w:val="231F20"/>
        </w:rPr>
        <w:t>odowisku</w:t>
      </w:r>
      <w:r>
        <w:rPr>
          <w:rFonts w:eastAsia="EuroGaramondEFN"/>
          <w:color w:val="231F20"/>
        </w:rPr>
        <w:t xml:space="preserve">” </w:t>
      </w:r>
      <w:r w:rsidRPr="00EA7F57">
        <w:rPr>
          <w:rFonts w:eastAsia="EuroGaramondEFN"/>
          <w:color w:val="231F20"/>
        </w:rPr>
        <w:t xml:space="preserve"> (</w:t>
      </w:r>
      <w:r w:rsidRPr="00EA7F57">
        <w:rPr>
          <w:rFonts w:eastAsia="EuroGaramondEFN"/>
          <w:i/>
          <w:iCs/>
          <w:color w:val="231F20"/>
        </w:rPr>
        <w:t>„biodiversity friendly</w:t>
      </w:r>
      <w:r>
        <w:rPr>
          <w:rFonts w:eastAsia="EuroGaramondEFN"/>
          <w:color w:val="231F20"/>
        </w:rPr>
        <w:t>”</w:t>
      </w:r>
      <w:r w:rsidRPr="00EA7F57">
        <w:rPr>
          <w:rFonts w:eastAsia="EuroGaramondEFN"/>
          <w:color w:val="231F20"/>
        </w:rPr>
        <w:t>).</w:t>
      </w:r>
    </w:p>
    <w:p w:rsidR="00327919" w:rsidRPr="008D32FC" w:rsidRDefault="00327919" w:rsidP="003279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EuroGaramondEFN"/>
        </w:rPr>
      </w:pPr>
      <w:r w:rsidRPr="008D32FC">
        <w:rPr>
          <w:rFonts w:eastAsia="EuroGaramondEFN"/>
        </w:rPr>
        <w:t>Stworzenie zestawu standardowych praktyk, które pozwolą administracji wygenerować modele działania, ułatwiające procedury administracyjne, co wpłynie korzystnie, zarówno na pracę jednostek administracyjnych, jak i na samych hodowców ryb.</w:t>
      </w:r>
    </w:p>
    <w:p w:rsidR="00327919" w:rsidRDefault="00327919" w:rsidP="00327919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327919" w:rsidRDefault="00252338" w:rsidP="00327919"/>
    <w:sectPr w:rsidR="00252338" w:rsidRPr="00327919" w:rsidSect="0053511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AA" w:rsidRDefault="009B5CAA" w:rsidP="0053511B">
      <w:pPr>
        <w:spacing w:after="0" w:line="240" w:lineRule="auto"/>
      </w:pPr>
      <w:r>
        <w:separator/>
      </w:r>
    </w:p>
  </w:endnote>
  <w:endnote w:type="continuationSeparator" w:id="0">
    <w:p w:rsidR="009B5CAA" w:rsidRDefault="009B5CA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GaramondEFN">
    <w:altName w:val="YDP Math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AA" w:rsidRDefault="009B5CAA" w:rsidP="0053511B">
      <w:pPr>
        <w:spacing w:after="0" w:line="240" w:lineRule="auto"/>
      </w:pPr>
      <w:r>
        <w:separator/>
      </w:r>
    </w:p>
  </w:footnote>
  <w:footnote w:type="continuationSeparator" w:id="0">
    <w:p w:rsidR="009B5CAA" w:rsidRDefault="009B5CA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E9F"/>
    <w:multiLevelType w:val="hybridMultilevel"/>
    <w:tmpl w:val="6F30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AF8"/>
    <w:multiLevelType w:val="hybridMultilevel"/>
    <w:tmpl w:val="8B02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C4457"/>
    <w:multiLevelType w:val="hybridMultilevel"/>
    <w:tmpl w:val="20AC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B0581"/>
    <w:multiLevelType w:val="hybridMultilevel"/>
    <w:tmpl w:val="B3881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77725"/>
    <w:multiLevelType w:val="hybridMultilevel"/>
    <w:tmpl w:val="35E02F0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27919"/>
    <w:rsid w:val="004B5766"/>
    <w:rsid w:val="0053511B"/>
    <w:rsid w:val="005E2D69"/>
    <w:rsid w:val="006C19D4"/>
    <w:rsid w:val="00711916"/>
    <w:rsid w:val="00805B2D"/>
    <w:rsid w:val="00875030"/>
    <w:rsid w:val="009B5CAA"/>
    <w:rsid w:val="00F028B9"/>
    <w:rsid w:val="00FD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3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028B9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28B9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2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0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27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3279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2014-12-30T17:27:00Z</dcterms:created>
  <dcterms:modified xsi:type="dcterms:W3CDTF">2014-12-30T17:27:00Z</dcterms:modified>
</cp:coreProperties>
</file>