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78" w:rsidRDefault="001E6978" w:rsidP="00EC627D">
      <w:pPr>
        <w:spacing w:after="332" w:line="324" w:lineRule="auto"/>
        <w:ind w:right="13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5BD1F4" wp14:editId="1492483C">
            <wp:simplePos x="0" y="0"/>
            <wp:positionH relativeFrom="column">
              <wp:posOffset>4234180</wp:posOffset>
            </wp:positionH>
            <wp:positionV relativeFrom="paragraph">
              <wp:posOffset>-233045</wp:posOffset>
            </wp:positionV>
            <wp:extent cx="1828800" cy="420370"/>
            <wp:effectExtent l="0" t="0" r="0" b="0"/>
            <wp:wrapTight wrapText="bothSides">
              <wp:wrapPolygon edited="0">
                <wp:start x="0" y="0"/>
                <wp:lineTo x="0" y="20556"/>
                <wp:lineTo x="21375" y="20556"/>
                <wp:lineTo x="21375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87151C2" wp14:editId="1E5A505D">
            <wp:simplePos x="0" y="0"/>
            <wp:positionH relativeFrom="column">
              <wp:posOffset>2424430</wp:posOffset>
            </wp:positionH>
            <wp:positionV relativeFrom="paragraph">
              <wp:posOffset>-469265</wp:posOffset>
            </wp:positionV>
            <wp:extent cx="85979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058" y="21214"/>
                <wp:lineTo x="2105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9C9C98E" wp14:editId="1D460C8A">
            <wp:simplePos x="0" y="0"/>
            <wp:positionH relativeFrom="column">
              <wp:posOffset>252730</wp:posOffset>
            </wp:positionH>
            <wp:positionV relativeFrom="paragraph">
              <wp:posOffset>-471170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0D8" w:rsidRPr="001E6978" w:rsidRDefault="00EC627D" w:rsidP="001E6978">
      <w:pPr>
        <w:spacing w:after="332" w:line="324" w:lineRule="auto"/>
        <w:ind w:left="0" w:right="13" w:firstLine="0"/>
        <w:rPr>
          <w:rFonts w:asciiTheme="majorHAnsi" w:hAnsiTheme="majorHAnsi"/>
          <w:b/>
          <w:sz w:val="24"/>
          <w:szCs w:val="24"/>
        </w:rPr>
      </w:pPr>
      <w:r w:rsidRPr="001E6978">
        <w:rPr>
          <w:rFonts w:asciiTheme="majorHAnsi" w:hAnsiTheme="majorHAnsi"/>
          <w:b/>
          <w:sz w:val="24"/>
          <w:szCs w:val="24"/>
        </w:rPr>
        <w:t>Propozycje tematyczne dla uczestników konkursu:</w:t>
      </w:r>
    </w:p>
    <w:p w:rsidR="00755B46" w:rsidRPr="001E6978" w:rsidRDefault="00755B46" w:rsidP="00755B46">
      <w:pPr>
        <w:suppressAutoHyphens/>
        <w:spacing w:after="0" w:line="240" w:lineRule="auto"/>
        <w:ind w:left="0" w:right="0" w:firstLine="0"/>
        <w:jc w:val="center"/>
        <w:rPr>
          <w:rFonts w:asciiTheme="majorHAnsi" w:eastAsia="Times New Roman" w:hAnsiTheme="majorHAnsi" w:cs="Times New Roman"/>
          <w:b/>
          <w:bCs/>
          <w:color w:val="auto"/>
          <w:sz w:val="24"/>
          <w:szCs w:val="24"/>
          <w:lang w:eastAsia="ar-SA"/>
        </w:rPr>
      </w:pPr>
      <w:r w:rsidRPr="001E6978">
        <w:rPr>
          <w:rFonts w:asciiTheme="majorHAnsi" w:eastAsia="Times New Roman" w:hAnsiTheme="majorHAnsi" w:cs="Times New Roman"/>
          <w:b/>
          <w:bCs/>
          <w:color w:val="auto"/>
          <w:sz w:val="24"/>
          <w:szCs w:val="24"/>
          <w:lang w:eastAsia="ar-SA"/>
        </w:rPr>
        <w:t>REGIONALNY KONKURS O DOLINIE BARYCZY</w:t>
      </w:r>
      <w:bookmarkStart w:id="0" w:name="_GoBack"/>
      <w:bookmarkEnd w:id="0"/>
    </w:p>
    <w:p w:rsidR="00755B46" w:rsidRPr="001E6978" w:rsidRDefault="00755B46" w:rsidP="00755B46">
      <w:pPr>
        <w:suppressAutoHyphens/>
        <w:spacing w:after="0" w:line="240" w:lineRule="auto"/>
        <w:ind w:left="0" w:right="0" w:firstLine="0"/>
        <w:jc w:val="center"/>
        <w:rPr>
          <w:rFonts w:asciiTheme="majorHAnsi" w:eastAsia="Times New Roman" w:hAnsiTheme="majorHAnsi" w:cs="Times New Roman"/>
          <w:b/>
          <w:bCs/>
          <w:color w:val="auto"/>
          <w:sz w:val="24"/>
          <w:szCs w:val="24"/>
          <w:lang w:eastAsia="ar-SA"/>
        </w:rPr>
      </w:pPr>
      <w:r w:rsidRPr="001E6978">
        <w:rPr>
          <w:rFonts w:asciiTheme="majorHAnsi" w:eastAsia="Times New Roman" w:hAnsiTheme="majorHAnsi" w:cs="Times New Roman"/>
          <w:b/>
          <w:bCs/>
          <w:color w:val="auto"/>
          <w:sz w:val="24"/>
          <w:szCs w:val="24"/>
          <w:lang w:eastAsia="ar-SA"/>
        </w:rPr>
        <w:t>EDYCJA XXIII</w:t>
      </w:r>
    </w:p>
    <w:p w:rsidR="00755B46" w:rsidRPr="001E6978" w:rsidRDefault="00755B46" w:rsidP="00755B46">
      <w:pPr>
        <w:spacing w:after="200" w:line="276" w:lineRule="auto"/>
        <w:ind w:left="0" w:right="0" w:firstLine="0"/>
        <w:jc w:val="center"/>
        <w:rPr>
          <w:rFonts w:asciiTheme="majorHAnsi" w:eastAsiaTheme="minorHAnsi" w:hAnsiTheme="majorHAnsi" w:cstheme="minorBidi"/>
          <w:b/>
          <w:color w:val="00B050"/>
          <w:sz w:val="24"/>
          <w:szCs w:val="24"/>
          <w:lang w:eastAsia="en-US"/>
        </w:rPr>
      </w:pPr>
      <w:r w:rsidRPr="001E6978">
        <w:rPr>
          <w:rFonts w:asciiTheme="majorHAnsi" w:eastAsiaTheme="minorHAnsi" w:hAnsiTheme="majorHAnsi" w:cstheme="minorBidi"/>
          <w:b/>
          <w:color w:val="00B050"/>
          <w:sz w:val="24"/>
          <w:szCs w:val="24"/>
          <w:lang w:eastAsia="en-US"/>
        </w:rPr>
        <w:t>„BIORÓŻNORODNOŚĆ”</w:t>
      </w:r>
    </w:p>
    <w:p w:rsidR="00755B46" w:rsidRPr="001E6978" w:rsidRDefault="00755B46" w:rsidP="00755B46">
      <w:pPr>
        <w:spacing w:after="200" w:line="276" w:lineRule="auto"/>
        <w:ind w:left="0" w:right="0" w:firstLine="0"/>
        <w:jc w:val="center"/>
        <w:rPr>
          <w:rFonts w:asciiTheme="majorHAnsi" w:eastAsiaTheme="minorHAnsi" w:hAnsiTheme="majorHAnsi" w:cs="Times New Roman"/>
          <w:b/>
          <w:color w:val="auto"/>
          <w:szCs w:val="20"/>
          <w:lang w:eastAsia="en-US"/>
        </w:rPr>
      </w:pPr>
      <w:r w:rsidRPr="001E6978">
        <w:rPr>
          <w:rFonts w:asciiTheme="majorHAnsi" w:eastAsiaTheme="minorHAnsi" w:hAnsiTheme="majorHAnsi" w:cs="Times New Roman"/>
          <w:color w:val="auto"/>
          <w:szCs w:val="20"/>
          <w:lang w:eastAsia="en-US"/>
        </w:rPr>
        <w:t xml:space="preserve">w ramach </w:t>
      </w:r>
      <w:r w:rsidRPr="001E6978">
        <w:rPr>
          <w:rFonts w:asciiTheme="majorHAnsi" w:eastAsiaTheme="minorHAnsi" w:hAnsiTheme="majorHAnsi" w:cs="Times New Roman"/>
          <w:b/>
          <w:color w:val="auto"/>
          <w:szCs w:val="20"/>
          <w:lang w:eastAsia="en-US"/>
        </w:rPr>
        <w:t>Wyjątkowych Inicjatyw Edukacyjnych  2020 (WIE IV</w:t>
      </w:r>
      <w:r w:rsidR="001E6978" w:rsidRPr="001E6978">
        <w:rPr>
          <w:rFonts w:asciiTheme="majorHAnsi" w:eastAsiaTheme="minorHAnsi" w:hAnsiTheme="majorHAnsi" w:cs="Times New Roman"/>
          <w:b/>
          <w:color w:val="auto"/>
          <w:szCs w:val="20"/>
          <w:lang w:eastAsia="en-US"/>
        </w:rPr>
        <w:t xml:space="preserve"> </w:t>
      </w:r>
      <w:r w:rsidRPr="001E6978">
        <w:rPr>
          <w:rFonts w:asciiTheme="majorHAnsi" w:eastAsiaTheme="minorHAnsi" w:hAnsiTheme="majorHAnsi" w:cs="Times New Roman"/>
          <w:b/>
          <w:color w:val="auto"/>
          <w:szCs w:val="20"/>
          <w:lang w:eastAsia="en-US"/>
        </w:rPr>
        <w:t>edycja)</w:t>
      </w:r>
    </w:p>
    <w:p w:rsidR="00D27F43" w:rsidRPr="00D27F43" w:rsidRDefault="00D27F43" w:rsidP="00D27F4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27F4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Wg Konwencji o różnorodności biologicznej</w:t>
      </w:r>
      <w:r w:rsidRPr="00D27F43">
        <w:rPr>
          <w:rFonts w:ascii="Times New Roman" w:eastAsia="Times New Roman" w:hAnsi="Times New Roman" w:cs="Times New Roman"/>
          <w:color w:val="auto"/>
          <w:sz w:val="24"/>
          <w:szCs w:val="24"/>
        </w:rPr>
        <w:t>, różnorodność gatunkowa to ,,zróżnicowanie wszystkich żywych organizmów występujących na Ziemi m.in. w ekosystemach lądowych, morskich i innych wodnych, jak też w zespołach ekologicznych, których organizmy te są częścią. Dotyczy to różnorodności wewnątrzgatunkowej i różnorodności na poziomie ekosystemów’’</w:t>
      </w:r>
    </w:p>
    <w:p w:rsidR="00D27F43" w:rsidRPr="00D27F43" w:rsidRDefault="00D27F43" w:rsidP="00D27F43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27F43">
        <w:rPr>
          <w:rFonts w:ascii="Times New Roman" w:eastAsia="Times New Roman" w:hAnsi="Times New Roman" w:cs="Times New Roman"/>
          <w:color w:val="auto"/>
          <w:sz w:val="24"/>
          <w:szCs w:val="24"/>
        </w:rPr>
        <w:t>Bioróżnorodność określa liczbę, różnorodność i zmienność organizmów żywych, a także to, w jaki sposób zmieniają się one w czasie i przemieszczają w przestrzeni.</w:t>
      </w:r>
    </w:p>
    <w:p w:rsidR="00D27F43" w:rsidRPr="001E6978" w:rsidRDefault="00EC627D" w:rsidP="00EC627D">
      <w:pPr>
        <w:spacing w:after="332" w:line="324" w:lineRule="auto"/>
        <w:ind w:right="13"/>
        <w:rPr>
          <w:b/>
          <w:sz w:val="22"/>
        </w:rPr>
      </w:pPr>
      <w:r w:rsidRPr="001E6978">
        <w:rPr>
          <w:b/>
          <w:sz w:val="22"/>
        </w:rPr>
        <w:t>Bioróżnorodność jako gwarancja zachowania równowagi biologicznej w Dolinie Baryczy</w:t>
      </w:r>
    </w:p>
    <w:p w:rsidR="005323F6" w:rsidRPr="001E6978" w:rsidRDefault="005323F6" w:rsidP="005323F6">
      <w:pPr>
        <w:pStyle w:val="Akapitzlist"/>
        <w:numPr>
          <w:ilvl w:val="0"/>
          <w:numId w:val="2"/>
        </w:numPr>
        <w:spacing w:after="332" w:line="324" w:lineRule="auto"/>
        <w:ind w:right="13"/>
        <w:rPr>
          <w:sz w:val="22"/>
        </w:rPr>
      </w:pPr>
      <w:r w:rsidRPr="001E6978">
        <w:rPr>
          <w:b/>
          <w:sz w:val="22"/>
        </w:rPr>
        <w:t>Znaczenie bioróżnorodności dla mieszkańców</w:t>
      </w:r>
      <w:r w:rsidRPr="001E6978">
        <w:rPr>
          <w:sz w:val="22"/>
        </w:rPr>
        <w:t xml:space="preserve"> – jakie korzyści mamy w związku z „bogactwem” przyrodniczym w Dolinie Baryczy (np. produkty lokalne, rozwój turystyki, edukacja, rekreacja, zdrowie itp.)</w:t>
      </w:r>
    </w:p>
    <w:p w:rsidR="00B050D8" w:rsidRPr="001E6978" w:rsidRDefault="00B050D8" w:rsidP="005323F6">
      <w:pPr>
        <w:pStyle w:val="Akapitzlist"/>
        <w:numPr>
          <w:ilvl w:val="0"/>
          <w:numId w:val="2"/>
        </w:numPr>
        <w:spacing w:after="332" w:line="324" w:lineRule="auto"/>
        <w:ind w:right="13"/>
        <w:rPr>
          <w:sz w:val="22"/>
        </w:rPr>
      </w:pPr>
      <w:r w:rsidRPr="001E6978">
        <w:rPr>
          <w:b/>
          <w:sz w:val="22"/>
        </w:rPr>
        <w:t>Ochrona środowiska</w:t>
      </w:r>
      <w:r w:rsidRPr="001E6978">
        <w:rPr>
          <w:sz w:val="22"/>
        </w:rPr>
        <w:t xml:space="preserve"> w tym ochrona gatunkowa, rezerwaty przyrody,</w:t>
      </w:r>
      <w:r w:rsidR="005323F6" w:rsidRPr="001E6978">
        <w:rPr>
          <w:sz w:val="22"/>
        </w:rPr>
        <w:t xml:space="preserve"> </w:t>
      </w:r>
      <w:r w:rsidR="009D38E2" w:rsidRPr="001E6978">
        <w:rPr>
          <w:sz w:val="22"/>
        </w:rPr>
        <w:t xml:space="preserve">pomniki przyrody, </w:t>
      </w:r>
      <w:r w:rsidRPr="001E6978">
        <w:rPr>
          <w:sz w:val="22"/>
        </w:rPr>
        <w:t>Park Krajobrazowy Dolina Baryczy, Obszary Natura 2000</w:t>
      </w:r>
      <w:r w:rsidR="00EC627D" w:rsidRPr="001E6978">
        <w:rPr>
          <w:sz w:val="22"/>
        </w:rPr>
        <w:t xml:space="preserve"> jako sposób na zachowanie bioróżnorodności.</w:t>
      </w:r>
    </w:p>
    <w:p w:rsidR="00B050D8" w:rsidRPr="001E6978" w:rsidRDefault="00B050D8" w:rsidP="005323F6">
      <w:pPr>
        <w:pStyle w:val="Akapitzlist"/>
        <w:numPr>
          <w:ilvl w:val="0"/>
          <w:numId w:val="2"/>
        </w:numPr>
        <w:spacing w:after="332" w:line="324" w:lineRule="auto"/>
        <w:ind w:right="13"/>
        <w:rPr>
          <w:sz w:val="22"/>
        </w:rPr>
      </w:pPr>
      <w:r w:rsidRPr="001E6978">
        <w:rPr>
          <w:b/>
          <w:sz w:val="22"/>
        </w:rPr>
        <w:t>Las jako środowisko życia</w:t>
      </w:r>
      <w:r w:rsidRPr="001E6978">
        <w:rPr>
          <w:sz w:val="22"/>
        </w:rPr>
        <w:t xml:space="preserve"> – gospodarka leśna</w:t>
      </w:r>
      <w:r w:rsidR="005323F6" w:rsidRPr="001E6978">
        <w:rPr>
          <w:sz w:val="22"/>
        </w:rPr>
        <w:t xml:space="preserve"> a bioróżnorodność</w:t>
      </w:r>
      <w:r w:rsidR="008D7F9D" w:rsidRPr="001E6978">
        <w:rPr>
          <w:sz w:val="22"/>
        </w:rPr>
        <w:t xml:space="preserve"> (np. jak leśnicy dbają o zróżnicowanie gatunkowe w lasach DB i jakie to ma znaczenie dla zachowania równowagi biologicznej</w:t>
      </w:r>
      <w:r w:rsidR="00EC627D" w:rsidRPr="001E6978">
        <w:rPr>
          <w:sz w:val="22"/>
        </w:rPr>
        <w:t xml:space="preserve"> </w:t>
      </w:r>
      <w:proofErr w:type="spellStart"/>
      <w:r w:rsidR="00EC627D" w:rsidRPr="001E6978">
        <w:rPr>
          <w:sz w:val="22"/>
        </w:rPr>
        <w:t>itp</w:t>
      </w:r>
      <w:proofErr w:type="spellEnd"/>
      <w:r w:rsidR="008D7F9D" w:rsidRPr="001E6978">
        <w:rPr>
          <w:sz w:val="22"/>
        </w:rPr>
        <w:t>)</w:t>
      </w:r>
    </w:p>
    <w:p w:rsidR="005323F6" w:rsidRPr="001E6978" w:rsidRDefault="00B050D8" w:rsidP="005323F6">
      <w:pPr>
        <w:pStyle w:val="Akapitzlist"/>
        <w:numPr>
          <w:ilvl w:val="0"/>
          <w:numId w:val="2"/>
        </w:numPr>
        <w:spacing w:after="332" w:line="324" w:lineRule="auto"/>
        <w:ind w:right="13"/>
        <w:rPr>
          <w:sz w:val="22"/>
        </w:rPr>
      </w:pPr>
      <w:r w:rsidRPr="001E6978">
        <w:rPr>
          <w:b/>
          <w:sz w:val="22"/>
        </w:rPr>
        <w:t>Gospodarka rolna</w:t>
      </w:r>
      <w:r w:rsidRPr="001E6978">
        <w:rPr>
          <w:sz w:val="22"/>
        </w:rPr>
        <w:t xml:space="preserve"> a zmiany gatunkowe roślin i zwierząt</w:t>
      </w:r>
      <w:r w:rsidR="005323F6" w:rsidRPr="001E6978">
        <w:rPr>
          <w:sz w:val="22"/>
        </w:rPr>
        <w:t xml:space="preserve"> (np. jakie działania pomagają zachować bioróżnorodność a jakie ją ograniczają?</w:t>
      </w:r>
      <w:r w:rsidR="00EC627D" w:rsidRPr="001E6978">
        <w:rPr>
          <w:sz w:val="22"/>
        </w:rPr>
        <w:t xml:space="preserve"> Itp.)</w:t>
      </w:r>
    </w:p>
    <w:p w:rsidR="00B050D8" w:rsidRPr="001E6978" w:rsidRDefault="00B050D8" w:rsidP="005323F6">
      <w:pPr>
        <w:pStyle w:val="Akapitzlist"/>
        <w:numPr>
          <w:ilvl w:val="0"/>
          <w:numId w:val="2"/>
        </w:numPr>
        <w:spacing w:after="332" w:line="324" w:lineRule="auto"/>
        <w:ind w:right="13"/>
        <w:rPr>
          <w:sz w:val="22"/>
        </w:rPr>
      </w:pPr>
      <w:r w:rsidRPr="001E6978">
        <w:rPr>
          <w:b/>
          <w:sz w:val="22"/>
        </w:rPr>
        <w:t>Bioróżnorodność wokół nas:</w:t>
      </w:r>
      <w:r w:rsidRPr="001E6978">
        <w:rPr>
          <w:sz w:val="22"/>
        </w:rPr>
        <w:t xml:space="preserve"> ogrody, parki, teren wokół szkoły (np. jak </w:t>
      </w:r>
      <w:r w:rsidR="005323F6" w:rsidRPr="001E6978">
        <w:rPr>
          <w:sz w:val="22"/>
        </w:rPr>
        <w:t>można zadbać o zachowanie bioróż</w:t>
      </w:r>
      <w:r w:rsidRPr="001E6978">
        <w:rPr>
          <w:sz w:val="22"/>
        </w:rPr>
        <w:t>norodności</w:t>
      </w:r>
      <w:r w:rsidR="00192991" w:rsidRPr="001E6978">
        <w:rPr>
          <w:sz w:val="22"/>
        </w:rPr>
        <w:t>? Trawnik czy kolorowa łąka, rodzime gatunki roślin przyjazne ptakom i owadom, domki dla owadów, stare odmiany drzew owocowych</w:t>
      </w:r>
      <w:r w:rsidR="00EC627D" w:rsidRPr="001E6978">
        <w:rPr>
          <w:sz w:val="22"/>
        </w:rPr>
        <w:t xml:space="preserve"> itp.</w:t>
      </w:r>
      <w:r w:rsidRPr="001E6978">
        <w:rPr>
          <w:sz w:val="22"/>
        </w:rPr>
        <w:t>)</w:t>
      </w:r>
    </w:p>
    <w:p w:rsidR="005323F6" w:rsidRPr="001E6978" w:rsidRDefault="00192991" w:rsidP="005323F6">
      <w:pPr>
        <w:pStyle w:val="Akapitzlist"/>
        <w:numPr>
          <w:ilvl w:val="0"/>
          <w:numId w:val="2"/>
        </w:numPr>
        <w:spacing w:after="332" w:line="324" w:lineRule="auto"/>
        <w:ind w:right="13"/>
        <w:rPr>
          <w:sz w:val="22"/>
        </w:rPr>
      </w:pPr>
      <w:r w:rsidRPr="001E6978">
        <w:rPr>
          <w:b/>
          <w:sz w:val="22"/>
        </w:rPr>
        <w:t>Gatunki inwazyjne</w:t>
      </w:r>
      <w:r w:rsidRPr="001E6978">
        <w:rPr>
          <w:sz w:val="22"/>
        </w:rPr>
        <w:t xml:space="preserve"> </w:t>
      </w:r>
      <w:r w:rsidR="005323F6" w:rsidRPr="001E6978">
        <w:rPr>
          <w:sz w:val="22"/>
        </w:rPr>
        <w:t xml:space="preserve"> </w:t>
      </w:r>
      <w:r w:rsidRPr="001E6978">
        <w:rPr>
          <w:sz w:val="22"/>
        </w:rPr>
        <w:t>i ich wpływ na bioróżnorodność w DB</w:t>
      </w:r>
    </w:p>
    <w:p w:rsidR="00192991" w:rsidRPr="001E6978" w:rsidRDefault="00192991" w:rsidP="005323F6">
      <w:pPr>
        <w:pStyle w:val="Akapitzlist"/>
        <w:numPr>
          <w:ilvl w:val="0"/>
          <w:numId w:val="2"/>
        </w:numPr>
        <w:spacing w:after="332" w:line="324" w:lineRule="auto"/>
        <w:ind w:right="13"/>
        <w:rPr>
          <w:sz w:val="22"/>
        </w:rPr>
      </w:pPr>
      <w:r w:rsidRPr="001E6978">
        <w:rPr>
          <w:b/>
          <w:sz w:val="22"/>
        </w:rPr>
        <w:t>Dbałość o czyste środowisko a zachowanie bioróżnorodności</w:t>
      </w:r>
      <w:r w:rsidRPr="001E6978">
        <w:rPr>
          <w:sz w:val="22"/>
        </w:rPr>
        <w:t xml:space="preserve"> (</w:t>
      </w:r>
      <w:r w:rsidR="008D7F9D" w:rsidRPr="001E6978">
        <w:rPr>
          <w:sz w:val="22"/>
        </w:rPr>
        <w:t xml:space="preserve">„dzikie” wysypiska śmieci, </w:t>
      </w:r>
      <w:r w:rsidRPr="001E6978">
        <w:rPr>
          <w:sz w:val="22"/>
        </w:rPr>
        <w:t>segregacja odpadów, oszczędzanie wody i energii itp.)</w:t>
      </w:r>
    </w:p>
    <w:p w:rsidR="00192991" w:rsidRPr="001E6978" w:rsidRDefault="00192991" w:rsidP="005323F6">
      <w:pPr>
        <w:pStyle w:val="Akapitzlist"/>
        <w:numPr>
          <w:ilvl w:val="0"/>
          <w:numId w:val="2"/>
        </w:numPr>
        <w:spacing w:after="332" w:line="324" w:lineRule="auto"/>
        <w:ind w:right="13"/>
        <w:rPr>
          <w:sz w:val="22"/>
        </w:rPr>
      </w:pPr>
      <w:r w:rsidRPr="001E6978">
        <w:rPr>
          <w:b/>
          <w:sz w:val="22"/>
        </w:rPr>
        <w:t>Zmiany klimatu a bioróżnorodność</w:t>
      </w:r>
      <w:r w:rsidR="008D7F9D" w:rsidRPr="001E6978">
        <w:rPr>
          <w:sz w:val="22"/>
        </w:rPr>
        <w:t xml:space="preserve"> (wymieranie gatunków, pojawianie się nowych, susze i anomalia pogodowe itp.)</w:t>
      </w:r>
    </w:p>
    <w:p w:rsidR="00EC627D" w:rsidRPr="001E6978" w:rsidRDefault="00EC627D" w:rsidP="00EC627D">
      <w:pPr>
        <w:pStyle w:val="Akapitzlist"/>
        <w:spacing w:after="332" w:line="324" w:lineRule="auto"/>
        <w:ind w:left="979" w:right="13" w:firstLine="0"/>
        <w:rPr>
          <w:sz w:val="22"/>
        </w:rPr>
      </w:pPr>
    </w:p>
    <w:p w:rsidR="009D38E2" w:rsidRDefault="009D38E2" w:rsidP="00EC627D">
      <w:pPr>
        <w:jc w:val="left"/>
        <w:rPr>
          <w:b/>
          <w:bCs/>
          <w:color w:val="00B050"/>
        </w:rPr>
      </w:pPr>
      <w:r>
        <w:rPr>
          <w:b/>
          <w:bCs/>
          <w:color w:val="00B050"/>
        </w:rPr>
        <w:lastRenderedPageBreak/>
        <w:t>Ważne!</w:t>
      </w:r>
    </w:p>
    <w:p w:rsidR="00EC627D" w:rsidRDefault="00EC627D" w:rsidP="00EC627D">
      <w:pPr>
        <w:jc w:val="left"/>
        <w:rPr>
          <w:b/>
          <w:bCs/>
          <w:color w:val="00B050"/>
        </w:rPr>
      </w:pPr>
      <w:r w:rsidRPr="00EC627D">
        <w:rPr>
          <w:b/>
          <w:bCs/>
          <w:color w:val="00B050"/>
        </w:rPr>
        <w:t>https://www.eea.europa.eu/pl/themes/biodiversity/intro</w:t>
      </w:r>
    </w:p>
    <w:p w:rsidR="00B050D8" w:rsidRDefault="00D968C1" w:rsidP="00EC627D">
      <w:pPr>
        <w:jc w:val="left"/>
        <w:rPr>
          <w:color w:val="00B050"/>
        </w:rPr>
      </w:pPr>
      <w:r w:rsidRPr="00EC627D">
        <w:rPr>
          <w:b/>
          <w:bCs/>
          <w:color w:val="00B050"/>
        </w:rPr>
        <w:t>Strategia na rzecz różnorodności biologicznej – wizja i cel przewodni</w:t>
      </w:r>
      <w:r w:rsidRPr="00EC627D">
        <w:rPr>
          <w:b/>
          <w:bCs/>
          <w:color w:val="00B050"/>
        </w:rPr>
        <w:br/>
      </w:r>
      <w:r w:rsidRPr="00EC627D">
        <w:rPr>
          <w:rStyle w:val="Pogrubienie"/>
          <w:color w:val="00B050"/>
        </w:rPr>
        <w:t>Wizja</w:t>
      </w:r>
      <w:r w:rsidRPr="00EC627D">
        <w:rPr>
          <w:b/>
          <w:bCs/>
          <w:color w:val="00B050"/>
        </w:rPr>
        <w:br/>
      </w:r>
      <w:r w:rsidRPr="00EC627D">
        <w:rPr>
          <w:color w:val="00B050"/>
        </w:rPr>
        <w:t xml:space="preserve">Do 2050 roku różnorodność biologiczna w Unii Europejskiej oraz usługi ekosystemowe, które zapewnia i które stanowią jej kapitał naturalny, będą chronione, wycenione i zostaną odpowiednio odtworzone ze względu na wartość różnorodności biologicznej samej w sobie </w:t>
      </w:r>
      <w:r w:rsidR="00EC627D">
        <w:rPr>
          <w:color w:val="00B050"/>
        </w:rPr>
        <w:t xml:space="preserve">oraz ich fundamentalny udział w </w:t>
      </w:r>
      <w:r w:rsidRPr="00EC627D">
        <w:rPr>
          <w:color w:val="00B050"/>
        </w:rPr>
        <w:t>zapewnianiu dobrobytu człowieka i koniunktury gospodarczej, tak aby uniknąć katastrofalnych zmian wywołanych przez utratę różnorodności biologicznej.</w:t>
      </w:r>
      <w:r w:rsidRPr="00EC627D">
        <w:rPr>
          <w:color w:val="00B050"/>
        </w:rPr>
        <w:br/>
      </w:r>
      <w:r w:rsidRPr="00EC627D">
        <w:rPr>
          <w:rStyle w:val="Pogrubienie"/>
          <w:color w:val="00B050"/>
        </w:rPr>
        <w:t>Cel przewodni</w:t>
      </w:r>
      <w:r w:rsidRPr="00EC627D">
        <w:rPr>
          <w:b/>
          <w:bCs/>
          <w:color w:val="00B050"/>
        </w:rPr>
        <w:br/>
      </w:r>
      <w:r w:rsidRPr="00EC627D">
        <w:rPr>
          <w:color w:val="00B050"/>
        </w:rPr>
        <w:t>Powstrzymanie procesu utraty różnorodności biologicznej i degradacji usług ekosystemowych w UE do 2020 r. oraz przywrócenie ich w możliwie największym stopniu, a także zwiększenie wkładu UE w zapobieganie utracie różnorodności biologicznej na świecie.</w:t>
      </w:r>
    </w:p>
    <w:p w:rsidR="00EC627D" w:rsidRDefault="00EC627D" w:rsidP="00EC627D">
      <w:pPr>
        <w:jc w:val="left"/>
        <w:rPr>
          <w:color w:val="00B050"/>
        </w:rPr>
      </w:pPr>
    </w:p>
    <w:p w:rsidR="00EC627D" w:rsidRPr="00EC627D" w:rsidRDefault="00EC627D" w:rsidP="00EC627D">
      <w:pPr>
        <w:jc w:val="left"/>
        <w:rPr>
          <w:color w:val="00B050"/>
        </w:rPr>
      </w:pPr>
      <w:r w:rsidRPr="00EC627D">
        <w:rPr>
          <w:color w:val="00B050"/>
        </w:rPr>
        <w:t xml:space="preserve">UE, jako strona konwencji, jest zobowiązana do wprowadzenia własnej polityki na rzecz różnorodności biologicznej zgodnej z brzmieniem zobowiązań międzynarodowych. Ma to odzwierciedlenie w 7. programie </w:t>
      </w:r>
      <w:proofErr w:type="spellStart"/>
      <w:r w:rsidRPr="00EC627D">
        <w:rPr>
          <w:color w:val="00B050"/>
        </w:rPr>
        <w:t>EAPen</w:t>
      </w:r>
      <w:proofErr w:type="spellEnd"/>
      <w:r w:rsidRPr="00EC627D">
        <w:rPr>
          <w:color w:val="00B050"/>
        </w:rPr>
        <w:t xml:space="preserve"> i jego celu polityki do 2020 r. oraz wizji na rok 2050. Wizja na rok 2030 przedstawiona w celach zrównoważonego rozwoju ONZ jeszcze bardziej zwiększa i potwierdza  ten proces polityczny , w szczególności w odniesieniu do integracji z politykami sektorowymi</w:t>
      </w:r>
    </w:p>
    <w:sectPr w:rsidR="00EC627D" w:rsidRPr="00EC6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660"/>
    <w:multiLevelType w:val="hybridMultilevel"/>
    <w:tmpl w:val="6F523AF0"/>
    <w:lvl w:ilvl="0" w:tplc="5E181B2A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477347F6"/>
    <w:multiLevelType w:val="hybridMultilevel"/>
    <w:tmpl w:val="2A5ECA4A"/>
    <w:lvl w:ilvl="0" w:tplc="0D886F10">
      <w:start w:val="1"/>
      <w:numFmt w:val="lowerLetter"/>
      <w:lvlText w:val="%1)"/>
      <w:lvlJc w:val="left"/>
      <w:pPr>
        <w:ind w:left="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D8"/>
    <w:rsid w:val="00192991"/>
    <w:rsid w:val="001A585A"/>
    <w:rsid w:val="001E6978"/>
    <w:rsid w:val="005323F6"/>
    <w:rsid w:val="00560731"/>
    <w:rsid w:val="00755B46"/>
    <w:rsid w:val="008D7F9D"/>
    <w:rsid w:val="009D38E2"/>
    <w:rsid w:val="00B050D8"/>
    <w:rsid w:val="00D27F43"/>
    <w:rsid w:val="00D968C1"/>
    <w:rsid w:val="00E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0D8"/>
    <w:pPr>
      <w:spacing w:after="47" w:line="250" w:lineRule="auto"/>
      <w:ind w:left="269" w:right="45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0D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68C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978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0D8"/>
    <w:pPr>
      <w:spacing w:after="47" w:line="250" w:lineRule="auto"/>
      <w:ind w:left="269" w:right="45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0D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68C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978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5</cp:revision>
  <dcterms:created xsi:type="dcterms:W3CDTF">2019-11-28T11:18:00Z</dcterms:created>
  <dcterms:modified xsi:type="dcterms:W3CDTF">2019-11-30T17:07:00Z</dcterms:modified>
</cp:coreProperties>
</file>