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935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10"/>
        <w:gridCol w:w="5842"/>
      </w:tblGrid>
      <w:tr>
        <w:trPr/>
        <w:tc>
          <w:tcPr>
            <w:tcW w:w="935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b/>
                <w:b/>
                <w:sz w:val="32"/>
              </w:rPr>
            </w:pPr>
            <w:r>
              <w:rPr>
                <w:rFonts w:eastAsia="Calibri"/>
                <w:b/>
                <w:kern w:val="0"/>
                <w:sz w:val="32"/>
                <w:lang w:val="pl-PL" w:bidi="ar-SA"/>
              </w:rPr>
              <w:t>Formularz – opis punktu POI w aplikacji (POI - miejsce zaplanowane na spacerze, którego nie ma w aplikacji)</w:t>
            </w:r>
          </w:p>
        </w:tc>
      </w:tr>
      <w:tr>
        <w:trPr>
          <w:trHeight w:val="1126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Nazwa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Maksymalnie 50 znaków.</w:t>
            </w:r>
          </w:p>
        </w:tc>
        <w:tc>
          <w:tcPr>
            <w:tcW w:w="5842" w:type="dxa"/>
            <w:tcBorders/>
          </w:tcPr>
          <w:p>
            <w:pPr>
              <w:pStyle w:val="Zawartotabeli"/>
              <w:widowControl w:val="false"/>
              <w:suppressAutoHyphens w:val="true"/>
              <w:spacing w:lineRule="auto" w:line="276" w:before="12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pl-PL" w:bidi="ar-SA"/>
              </w:rPr>
              <w:t>Pałac rodu von Burghaus w Sułowie</w:t>
            </w:r>
          </w:p>
        </w:tc>
      </w:tr>
      <w:tr>
        <w:trPr>
          <w:trHeight w:val="3012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Opis miejsca/obiektu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Maksymalnie 400 znaków.</w:t>
            </w:r>
          </w:p>
        </w:tc>
        <w:tc>
          <w:tcPr>
            <w:tcW w:w="5842" w:type="dxa"/>
            <w:tcBorders/>
          </w:tcPr>
          <w:p>
            <w:pPr>
              <w:pStyle w:val="Zawartotabeli"/>
              <w:widowControl w:val="false"/>
              <w:suppressAutoHyphens w:val="true"/>
              <w:spacing w:lineRule="auto" w:line="276" w:before="0" w:after="0"/>
              <w:jc w:val="both"/>
              <w:rPr>
                <w:b/>
                <w:b/>
                <w:bCs/>
              </w:rPr>
            </w:pP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0"/>
                <w:sz w:val="24"/>
                <w:szCs w:val="24"/>
                <w:u w:val="none"/>
                <w:lang w:val="pl-PL" w:eastAsia="en-US" w:bidi="ar-SA"/>
              </w:rPr>
              <w:t xml:space="preserve">Pałac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0"/>
                <w:sz w:val="24"/>
                <w:szCs w:val="24"/>
                <w:u w:val="none"/>
                <w:lang w:val="pl-PL" w:eastAsia="en-US" w:bidi="ar-SA"/>
              </w:rPr>
              <w:t xml:space="preserve">został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0"/>
                <w:sz w:val="24"/>
                <w:szCs w:val="24"/>
                <w:u w:val="none"/>
                <w:lang w:val="pl-PL" w:eastAsia="en-US" w:bidi="ar-SA"/>
              </w:rPr>
              <w:t xml:space="preserve">wzniesiony ok. 1680 r.,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0"/>
                <w:sz w:val="24"/>
                <w:szCs w:val="24"/>
                <w:u w:val="none"/>
                <w:lang w:val="pl-PL" w:eastAsia="en-US" w:bidi="ar-SA"/>
              </w:rPr>
              <w:t>w stylu barokowym,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0"/>
                <w:sz w:val="24"/>
                <w:szCs w:val="24"/>
                <w:u w:val="none"/>
                <w:lang w:val="pl-PL" w:eastAsia="en-US" w:bidi="ar-SA"/>
              </w:rPr>
              <w:t xml:space="preserve">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0"/>
                <w:sz w:val="24"/>
                <w:szCs w:val="24"/>
                <w:u w:val="none"/>
                <w:lang w:val="pl-PL" w:eastAsia="en-US" w:bidi="ar-SA"/>
              </w:rPr>
              <w:t xml:space="preserve">a następnie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0"/>
                <w:sz w:val="24"/>
                <w:szCs w:val="24"/>
                <w:u w:val="none"/>
                <w:lang w:val="pl-PL" w:eastAsia="en-US" w:bidi="ar-SA"/>
              </w:rPr>
              <w:t xml:space="preserve">przebudowany w XVIII w.,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0"/>
                <w:sz w:val="24"/>
                <w:szCs w:val="24"/>
                <w:u w:val="none"/>
                <w:lang w:val="pl-PL" w:eastAsia="en-US" w:bidi="ar-SA"/>
              </w:rPr>
              <w:t>w stylu rokoko.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0"/>
                <w:sz w:val="24"/>
                <w:szCs w:val="24"/>
                <w:u w:val="none"/>
                <w:lang w:val="pl-PL" w:eastAsia="en-US" w:bidi="ar-SA"/>
              </w:rPr>
              <w:t xml:space="preserve">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0"/>
                <w:sz w:val="24"/>
                <w:szCs w:val="24"/>
                <w:u w:val="none"/>
                <w:lang w:val="pl-PL" w:eastAsia="en-US" w:bidi="ar-SA"/>
              </w:rPr>
              <w:t xml:space="preserve">Został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0"/>
                <w:sz w:val="24"/>
                <w:szCs w:val="24"/>
                <w:u w:val="none"/>
                <w:lang w:val="pl-PL" w:eastAsia="en-US" w:bidi="ar-SA"/>
              </w:rPr>
              <w:t xml:space="preserve">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0"/>
                <w:sz w:val="24"/>
                <w:szCs w:val="24"/>
                <w:u w:val="none"/>
                <w:lang w:val="pl-PL" w:eastAsia="en-US" w:bidi="ar-SA"/>
              </w:rPr>
              <w:t>odrestaurowany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0"/>
                <w:sz w:val="24"/>
                <w:szCs w:val="24"/>
                <w:u w:val="none"/>
                <w:lang w:val="pl-PL" w:eastAsia="en-US" w:bidi="ar-SA"/>
              </w:rPr>
              <w:t xml:space="preserve"> w latach 1964-1965.  Wnętrza mimo przebudów zachowały część barokowego wyposażenia,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0"/>
                <w:sz w:val="24"/>
                <w:szCs w:val="24"/>
                <w:u w:val="none"/>
                <w:lang w:val="pl-PL" w:eastAsia="en-US" w:bidi="ar-SA"/>
              </w:rPr>
              <w:t>np.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0"/>
                <w:sz w:val="24"/>
                <w:szCs w:val="24"/>
                <w:u w:val="none"/>
                <w:lang w:val="pl-PL" w:eastAsia="en-US" w:bidi="ar-SA"/>
              </w:rPr>
              <w:t xml:space="preserve"> rokokowy piec kaflowy.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0"/>
                <w:sz w:val="24"/>
                <w:szCs w:val="24"/>
                <w:u w:val="none"/>
                <w:lang w:val="pl-PL" w:eastAsia="en-US" w:bidi="ar-SA"/>
              </w:rPr>
              <w:t xml:space="preserve">Nad wejściem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0"/>
                <w:sz w:val="24"/>
                <w:szCs w:val="24"/>
                <w:u w:val="none"/>
                <w:lang w:val="pl-PL" w:eastAsia="en-US" w:bidi="ar-SA"/>
              </w:rPr>
              <w:t xml:space="preserve">znajduje się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0"/>
                <w:sz w:val="24"/>
                <w:szCs w:val="24"/>
                <w:u w:val="none"/>
                <w:lang w:val="pl-PL" w:eastAsia="en-US" w:bidi="ar-SA"/>
              </w:rPr>
              <w:t> </w:t>
            </w:r>
            <w:hyperlink r:id="rId2">
              <w:r>
                <w:rPr>
                  <w:rStyle w:val="Czeinternetowe"/>
                  <w:rFonts w:eastAsia="Calibri" w:cs="" w:ascii="Liberation Serif" w:hAnsi="Liberation Serif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000000"/>
                  <w:spacing w:val="0"/>
                  <w:kern w:val="0"/>
                  <w:sz w:val="24"/>
                  <w:szCs w:val="24"/>
                  <w:u w:val="none"/>
                  <w:effect w:val="none"/>
                  <w:shd w:fill="FFFFFF" w:val="clear"/>
                  <w:lang w:val="pl-PL" w:eastAsia="en-US" w:bidi="ar-SA"/>
                </w:rPr>
                <w:t>kartusz</w:t>
              </w:r>
            </w:hyperlink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0"/>
                <w:sz w:val="24"/>
                <w:szCs w:val="24"/>
                <w:u w:val="none"/>
                <w:lang w:val="pl-PL" w:eastAsia="en-US" w:bidi="ar-SA"/>
              </w:rPr>
              <w:t xml:space="preserve"> z herbami:Konrada von Burghausa i Maria von Nowack. Rezydencję wybudowano </w:t>
            </w:r>
            <w:r>
              <w:rPr>
                <w:rFonts w:eastAsia="Calibri" w:cs=""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0"/>
                <w:sz w:val="24"/>
                <w:szCs w:val="24"/>
                <w:u w:val="none"/>
                <w:lang w:val="pl-PL" w:eastAsia="en-US" w:bidi="ar-SA"/>
              </w:rPr>
              <w:t>dla Nicolausa Conrada von Burghaus.</w:t>
            </w:r>
          </w:p>
        </w:tc>
      </w:tr>
      <w:tr>
        <w:trPr>
          <w:trHeight w:val="2858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Rodzaj kategorii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sz w:val="22"/>
                <w:lang w:val="pl-PL" w:bidi="ar-SA"/>
              </w:rPr>
              <w:t>Do jakiej kategorii można przypisać punkt POI np. obiekt turystyczny, obiekt przyrodniczy, restauracja, hotel, łowisko, dla aktywnych, dla rodzin z dziećmi, miejsce dostępne publicznie itp.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Obiekt turystyczny</w:t>
            </w:r>
          </w:p>
        </w:tc>
      </w:tr>
      <w:tr>
        <w:trPr>
          <w:trHeight w:val="1133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Współrzędne geograficzne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Można pobrać z Google Maps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hyperlink r:id="rId3">
              <w:r>
                <w:rPr>
                  <w:rStyle w:val="Czeinternetowe"/>
                  <w:rFonts w:eastAsia="Calibri" w:ascii="Times New Roman" w:hAnsi="Times New Roman"/>
                  <w:b w:val="false"/>
                  <w:i w:val="false"/>
                  <w:caps w:val="false"/>
                  <w:smallCaps w:val="false"/>
                  <w:color w:val="000000"/>
                  <w:spacing w:val="0"/>
                  <w:kern w:val="0"/>
                  <w:sz w:val="24"/>
                  <w:szCs w:val="24"/>
                  <w:u w:val="none"/>
                  <w:shd w:fill="FFFFFF" w:val="clear"/>
                  <w:lang w:val="pl-PL" w:bidi="ar-SA"/>
                </w:rPr>
                <w:t>51°29′56,5″N 17°10′13,1″E</w:t>
              </w:r>
            </w:hyperlink>
            <w:r>
              <w:rPr>
                <w:rFonts w:eastAsia="Calibri" w:ascii="Times New Roman" w:hAnsi="Times New Roman"/>
                <w:color w:val="auto"/>
                <w:kern w:val="0"/>
                <w:sz w:val="24"/>
                <w:szCs w:val="24"/>
                <w:u w:val="none"/>
                <w:lang w:val="pl-PL" w:bidi="ar-SA"/>
              </w:rPr>
              <w:t xml:space="preserve"> </w:t>
            </w:r>
          </w:p>
        </w:tc>
      </w:tr>
      <w:tr>
        <w:trPr>
          <w:trHeight w:val="3933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Zdjęcie miejsca/obiektu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sz w:val="22"/>
                <w:lang w:val="pl-PL" w:bidi="ar-SA"/>
              </w:rPr>
              <w:t>Zdjęcie stanowi okładkę propozycji, która wyświetla się po wejściu w punkt POI na aplikacji. Format: JPG. Min. rozmiar 1440x960. Maksymalnie 500KB</w:t>
            </w:r>
            <w:r>
              <w:rPr>
                <w:rFonts w:eastAsia="Calibri"/>
                <w:i/>
                <w:kern w:val="0"/>
                <w:lang w:val="pl-PL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Wklej zdjęcie poglądowe oraz link do pobrania zdjęcia w lepszej jakości.</w:t>
            </w:r>
          </w:p>
        </w:tc>
        <w:tc>
          <w:tcPr>
            <w:tcW w:w="5842" w:type="dxa"/>
            <w:tcBorders/>
          </w:tcPr>
          <w:p>
            <w:pPr>
              <w:pStyle w:val="Tretekstu"/>
              <w:rPr/>
            </w:pPr>
            <w:r>
              <w:rPr/>
            </w:r>
          </w:p>
          <w:p>
            <w:pPr>
              <w:pStyle w:val="Tretekstu"/>
              <w:rPr/>
            </w:pPr>
            <w:r>
              <w:rPr/>
            </w:r>
          </w:p>
          <w:p>
            <w:pPr>
              <w:pStyle w:val="Tretekstu"/>
              <w:widowControl w:val="false"/>
              <w:spacing w:before="0" w:after="140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3573145" cy="2679700"/>
                  <wp:effectExtent l="0" t="0" r="0" b="0"/>
                  <wp:wrapSquare wrapText="largest"/>
                  <wp:docPr id="1" name="Obraz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145" cy="267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127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Godziny otwarcia miejsca/obiektu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Wpisz godziny lub nie dotyczy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Nie dotyczy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Udogodnienia przy miejscu/obiekcie</w:t>
            </w:r>
            <w:bookmarkStart w:id="0" w:name="_GoBack"/>
            <w:bookmarkEnd w:id="0"/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 xml:space="preserve"> – jeśli dotyczy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i/>
                <w:kern w:val="0"/>
                <w:lang w:val="pl-PL" w:bidi="ar-SA"/>
              </w:rPr>
              <w:t>Maksymalnie 150 znaków.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  <w:sz w:val="22"/>
              </w:rPr>
            </w:pPr>
            <w:r>
              <w:rPr>
                <w:rFonts w:eastAsia="Calibri"/>
                <w:i/>
                <w:kern w:val="0"/>
                <w:sz w:val="22"/>
                <w:lang w:val="pl-PL" w:bidi="ar-SA"/>
              </w:rPr>
              <w:t xml:space="preserve">Np. dostępny dla osób </w:t>
              <w:br/>
              <w:t>z niepełnosprawnością, miejsce przyjazne dla zwierząt, WiFi, bezpłatny parking, plac zabaw.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Nie dotyczy</w:t>
            </w:r>
          </w:p>
        </w:tc>
      </w:tr>
      <w:tr>
        <w:trPr/>
        <w:tc>
          <w:tcPr>
            <w:tcW w:w="935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Dane adresowe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Ulica z numerem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 xml:space="preserve">ul. Zamkowa </w:t>
            </w:r>
            <w:r>
              <w:rPr>
                <w:rFonts w:eastAsia="Calibri"/>
                <w:kern w:val="0"/>
                <w:lang w:val="pl-PL" w:bidi="ar-SA"/>
              </w:rPr>
              <w:t>5</w:t>
            </w:r>
          </w:p>
        </w:tc>
      </w:tr>
      <w:tr>
        <w:trPr>
          <w:trHeight w:val="602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Kod pocztowy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56-300</w:t>
            </w:r>
          </w:p>
        </w:tc>
      </w:tr>
      <w:tr>
        <w:trPr>
          <w:trHeight w:val="710" w:hRule="atLeast"/>
        </w:trPr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Miejscowość</w:t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Sułów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Gmina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Milicz</w:t>
            </w:r>
          </w:p>
        </w:tc>
      </w:tr>
      <w:tr>
        <w:trPr/>
        <w:tc>
          <w:tcPr>
            <w:tcW w:w="935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Dane kontaktowe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E-mail kontaktowy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Nie dotyczy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Telefon kontaktowy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Nie dotyczy</w:t>
            </w:r>
          </w:p>
        </w:tc>
      </w:tr>
      <w:tr>
        <w:trPr/>
        <w:tc>
          <w:tcPr>
            <w:tcW w:w="3510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rFonts w:eastAsia="Calibri"/>
                <w:b/>
                <w:kern w:val="0"/>
                <w:sz w:val="28"/>
                <w:lang w:val="pl-PL" w:bidi="ar-SA"/>
              </w:rPr>
              <w:t>Strona internetowa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58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eastAsia="Calibri"/>
                <w:kern w:val="0"/>
                <w:lang w:val="pl-PL" w:bidi="ar-SA"/>
              </w:rPr>
            </w:pPr>
            <w:r>
              <w:rPr>
                <w:rFonts w:eastAsia="Calibri"/>
                <w:kern w:val="0"/>
                <w:lang w:val="pl-PL" w:bidi="ar-SA"/>
              </w:rPr>
              <w:t>Nie dotyczy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27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c0dc3"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e482b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4c4c69"/>
    <w:pPr>
      <w:spacing w:before="0" w:after="0"/>
      <w:ind w:left="72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134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l.wikipedia.org/wiki/Kartusz_(ozdoba)" TargetMode="External"/><Relationship Id="rId3" Type="http://schemas.openxmlformats.org/officeDocument/2006/relationships/hyperlink" Target="https://tools.wmflabs.org/geohack/geohack.php?language=pl&amp;pagename=Pa&#322;ac_w_Su&#322;owie&amp;params=51.499027777778_N_17.170305555556_E_type:building" TargetMode="Externa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8259-7B5C-47C6-A116-BACF96A5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LibreOffice/7.1.5.2$Windows_X86_64 LibreOffice_project/85f04e9f809797b8199d13c421bd8a2b025d52b5</Application>
  <AppVersion>15.0000</AppVersion>
  <Pages>3</Pages>
  <Words>222</Words>
  <Characters>1405</Characters>
  <CharactersWithSpaces>1595</CharactersWithSpaces>
  <Paragraphs>39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2021-07-30T07:43:00Z</dcterms:created>
  <dc:creator>Agnieszka Gohl</dc:creator>
  <dc:description/>
  <dc:language>pl-PL</dc:language>
  <cp:lastModifiedBy/>
  <cp:lastPrinted>2022-09-26T13:06:00Z</cp:lastPrinted>
  <dcterms:modified xsi:type="dcterms:W3CDTF">2022-10-30T12:11:17Z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