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 xml:space="preserve">Kaplica pw. św. Józefa Oblubieńca NMP </w:t>
            </w: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>Słączno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pl-PL" w:bidi="ar-SA"/>
              </w:rPr>
            </w:pPr>
            <w:r>
              <w:rPr>
                <w:rStyle w:val="Czeinternetowe"/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>Legenda głosi,  że trzymał się tam św. Wojciech w drodze z Pragi do Gniezna w drewnianej kaplicy zbudowanej około 1000r. W 1421r. zbudowano kaplicę murowaną-parafialną (pierwsza parafia w gminie Sułów). W latach 1980-82 dobudowano salę, powiększono wnętrze kaplicy pod wezwaniem św.  Józefa. Na wieżyczce wisiał dzwon z napisem: „Anno domini millesimo o rex gloriae veni cum pace”.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turystyczny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76" w:before="0" w:after="0"/>
              <w:jc w:val="left"/>
              <w:rPr>
                <w:rFonts w:ascii="Google Sans;Roboto;Arial;sans-serif" w:hAnsi="Google Sans;Roboto;Arial;sans-serif" w:eastAsia="Calibri"/>
                <w:b w:val="false"/>
                <w:i w:val="false"/>
                <w:caps w:val="false"/>
                <w:smallCaps w:val="false"/>
                <w:color w:val="202124"/>
                <w:spacing w:val="0"/>
                <w:kern w:val="0"/>
                <w:sz w:val="24"/>
                <w:szCs w:val="24"/>
                <w:lang w:val="pl-PL" w:bidi="ar-SA"/>
              </w:rPr>
            </w:pPr>
            <w:r>
              <w:rPr>
                <w:rFonts w:eastAsia="Calibri" w:ascii="Google Sans;Roboto;Arial;sans-serif" w:hAnsi="Google Sans;Roboto;Arial;sans-serif"/>
                <w:b w:val="false"/>
                <w:i w:val="false"/>
                <w:caps w:val="false"/>
                <w:smallCaps w:val="false"/>
                <w:color w:val="202124"/>
                <w:spacing w:val="0"/>
                <w:kern w:val="0"/>
                <w:sz w:val="24"/>
                <w:szCs w:val="24"/>
                <w:lang w:val="pl-PL" w:bidi="ar-SA"/>
              </w:rPr>
              <w:t>51°31'05.8"N 17°10'01.4"E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Tretekstu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267970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Niedziela 8.00-9.00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Słączno 32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Słączno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Milicz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602179407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ogle Sans">
    <w:altName w:val="Roboto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LibreOffice/7.1.5.2$Windows_X86_64 LibreOffice_project/85f04e9f809797b8199d13c421bd8a2b025d52b5</Application>
  <AppVersion>15.0000</AppVersion>
  <Pages>3</Pages>
  <Words>224</Words>
  <Characters>1415</Characters>
  <CharactersWithSpaces>1605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2022-10-30T16:10:39Z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